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C9" w:rsidRPr="000C00C9" w:rsidRDefault="000C00C9" w:rsidP="000C00C9">
      <w:pPr>
        <w:spacing w:after="0" w:line="240" w:lineRule="auto"/>
        <w:rPr>
          <w:rFonts w:asciiTheme="minorHAnsi" w:hAnsiTheme="minorHAnsi" w:cstheme="minorHAnsi"/>
          <w:sz w:val="14"/>
          <w:szCs w:val="14"/>
        </w:rPr>
        <w:sectPr w:rsidR="000C00C9" w:rsidRPr="000C00C9" w:rsidSect="000C00C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C00C9" w:rsidRPr="000C00C9" w:rsidRDefault="000C00C9" w:rsidP="000C00C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00C9">
        <w:rPr>
          <w:rFonts w:asciiTheme="minorHAnsi" w:hAnsiTheme="minorHAnsi" w:cstheme="minorHAnsi"/>
          <w:b/>
          <w:bCs/>
          <w:sz w:val="20"/>
          <w:szCs w:val="20"/>
        </w:rPr>
        <w:lastRenderedPageBreak/>
        <w:t>Środki wapnujące</w:t>
      </w:r>
      <w:r w:rsidRPr="000C00C9">
        <w:rPr>
          <w:rFonts w:asciiTheme="minorHAnsi" w:hAnsiTheme="minorHAnsi" w:cstheme="minorHAnsi"/>
          <w:sz w:val="20"/>
          <w:szCs w:val="20"/>
        </w:rPr>
        <w:t xml:space="preserve"> (zgodnie z załącznikiem I do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0C00C9">
        <w:rPr>
          <w:rFonts w:asciiTheme="minorHAnsi" w:hAnsiTheme="minorHAnsi" w:cstheme="minorHAnsi"/>
          <w:sz w:val="20"/>
          <w:szCs w:val="20"/>
        </w:rPr>
        <w:t>ozporządzenia</w:t>
      </w:r>
      <w:r>
        <w:rPr>
          <w:rFonts w:asciiTheme="minorHAnsi" w:hAnsiTheme="minorHAnsi" w:cstheme="minorHAnsi"/>
          <w:sz w:val="20"/>
          <w:szCs w:val="20"/>
        </w:rPr>
        <w:t xml:space="preserve"> Komisji </w:t>
      </w:r>
      <w:r w:rsidRPr="000C00C9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0C00C9">
        <w:rPr>
          <w:rFonts w:asciiTheme="minorHAnsi" w:hAnsiTheme="minorHAnsi" w:cstheme="minorHAnsi"/>
          <w:sz w:val="20"/>
          <w:szCs w:val="20"/>
        </w:rPr>
        <w:t xml:space="preserve">E) nr </w:t>
      </w:r>
      <w:r>
        <w:rPr>
          <w:rFonts w:asciiTheme="minorHAnsi" w:hAnsiTheme="minorHAnsi" w:cstheme="minorHAnsi"/>
          <w:sz w:val="20"/>
          <w:szCs w:val="20"/>
        </w:rPr>
        <w:t>463/2013 z dnia 17 maja 2013 r. zmieniającego rozporządzenie (WE) nr 2003/2003 P</w:t>
      </w:r>
      <w:r w:rsidRPr="000C00C9">
        <w:rPr>
          <w:rFonts w:asciiTheme="minorHAnsi" w:hAnsiTheme="minorHAnsi" w:cstheme="minorHAnsi"/>
          <w:sz w:val="20"/>
          <w:szCs w:val="20"/>
        </w:rPr>
        <w:t>arlamentu Europejskiego i Rady</w:t>
      </w:r>
      <w:r>
        <w:rPr>
          <w:rFonts w:asciiTheme="minorHAnsi" w:hAnsiTheme="minorHAnsi" w:cstheme="minorHAnsi"/>
          <w:sz w:val="20"/>
          <w:szCs w:val="20"/>
        </w:rPr>
        <w:t xml:space="preserve"> w sprawie nawozów w celu dostosowania jego załączników I, II i IV do postępu technicznego</w:t>
      </w:r>
    </w:p>
    <w:tbl>
      <w:tblPr>
        <w:tblW w:w="54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"/>
        <w:gridCol w:w="1111"/>
        <w:gridCol w:w="3306"/>
        <w:gridCol w:w="4180"/>
        <w:gridCol w:w="2038"/>
        <w:gridCol w:w="3287"/>
        <w:gridCol w:w="1070"/>
      </w:tblGrid>
      <w:tr w:rsidR="000C00C9" w:rsidRPr="000C00C9" w:rsidTr="00D60D9A">
        <w:trPr>
          <w:gridAfter w:val="1"/>
          <w:wAfter w:w="1068" w:type="dxa"/>
          <w:tblCellSpacing w:w="0" w:type="dxa"/>
        </w:trPr>
        <w:tc>
          <w:tcPr>
            <w:tcW w:w="14048" w:type="dxa"/>
            <w:gridSpan w:val="6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"/>
              <w:gridCol w:w="1418"/>
              <w:gridCol w:w="2791"/>
              <w:gridCol w:w="4278"/>
              <w:gridCol w:w="2139"/>
              <w:gridCol w:w="3227"/>
            </w:tblGrid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1A38B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  <w:r w:rsidR="001A38B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1A38B2" w:rsidRPr="000C00C9" w:rsidTr="00D60D9A">
              <w:trPr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8B2" w:rsidRPr="001A38B2" w:rsidRDefault="001A38B2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A38B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G.1. Wapień naturalny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1a)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węglan wapnia, uzyskiwany przez rozdrabnianie (kruszenie, mielenie) naturalnych złóż wapienia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9"/>
                    <w:gridCol w:w="4129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8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6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"/>
                    <w:gridCol w:w="4127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"/>
                    <w:gridCol w:w="4127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2a)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magnezowy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i węglan magnezu, uzyskiwany przez rozdrabnianie (kruszenie, mielenie) naturalnych złóż wapienia magnezowego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3 %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9"/>
                    <w:gridCol w:w="4129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8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6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"/>
                    <w:gridCol w:w="4127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2b)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magnezowy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3 %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"/>
                    <w:gridCol w:w="4127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3a)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dolomitowy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i węglan magnezu, uzyskiwany przez rozdrabnianie (kruszenie, mielenie) naturalnych złóż dolomitu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48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12 %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9"/>
                    <w:gridCol w:w="4129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8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6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"/>
                    <w:gridCol w:w="4127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3b)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dolomitowy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54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12 %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"/>
                    <w:gridCol w:w="4127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lastRenderedPageBreak/>
                          <w:t>—</w:t>
                        </w:r>
                      </w:p>
                    </w:tc>
                    <w:tc>
                      <w:tcPr>
                        <w:tcW w:w="410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4a)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ze złóż morskich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węglan wapnia jako główny składnik, uzyskiwany przez rozdrabnianie (kruszenie, mielenie) naturalnych złóż wapienia pochodzenia morskiego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30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4b)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ze złóż morskich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5a)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Kreda – standardowa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węglan wapnia jako główny składnik, uzyskiwany przez rozdrabnianie (kruszenie, mielenie) naturalnych złóż kredy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po dezintegracji w wodzie: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9"/>
                    <w:gridCol w:w="4129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8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6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90 %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70 %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40 % przechodzi przez sito o wymiarze boku oczek 0,315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frakcji 1–2 mm (uzyskanych za pomocą przesiewania na sucho) co najmniej 40 % w kwasie cytrynowym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5b)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Kreda – rozdrobniona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po dezintegracji w wodzie: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9"/>
                    <w:gridCol w:w="4129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8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6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70 %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frakcji 1–2 mm (uzyskanych za pomocą przesiewania na sucho) co najmniej 65 % w kwasie cytrynowym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48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0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węglanów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lub węglan magnezu, uzyskiwany przez rozdrabnianie (kruszenie, mielenie) naturalnych złóż wapienia, wapienia magnezowego, wapienia dolomitowego lub kredy i sporządzenie z nich zawiesiny wodnej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35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123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0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"/>
                    <w:gridCol w:w="4127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0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 jeśli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G.2. Wapno tlenkowe i wodorotlenkowe pochodzenia naturalnego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18"/>
              <w:gridCol w:w="2849"/>
              <w:gridCol w:w="4279"/>
              <w:gridCol w:w="2141"/>
              <w:gridCol w:w="3228"/>
            </w:tblGrid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1a)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tlenek wapnia, uzyskiwany przez prażenie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"/>
                    <w:gridCol w:w="4125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16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"/>
                    <w:gridCol w:w="4132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3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"/>
                    <w:gridCol w:w="4129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tlenek wapnia, uzyskiwany przez prażenie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"/>
                    <w:gridCol w:w="4125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16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"/>
                    <w:gridCol w:w="4132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3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"/>
                    <w:gridCol w:w="4129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"/>
                    <w:gridCol w:w="4125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16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"/>
                    <w:gridCol w:w="4132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3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"/>
                    <w:gridCol w:w="4129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"/>
                    <w:gridCol w:w="4125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16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"/>
                    <w:gridCol w:w="4132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3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"/>
                    <w:gridCol w:w="4129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"/>
                    <w:gridCol w:w="4125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16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"/>
                    <w:gridCol w:w="4132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3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"/>
                    <w:gridCol w:w="4129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95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"/>
                    <w:gridCol w:w="4125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4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16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"/>
                    <w:gridCol w:w="4132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7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3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"/>
                    <w:gridCol w:w="4129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3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0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hydratyzowane (wapno 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wodorotlenek wapnia, uzyskiwany przez prażenie i hydratyzowanie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65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1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8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2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hydratyzowane (wapno magnezowe 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i wodorotlenek magnezu, uzyskiwany przez prażenie i hydratyzowanie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5 %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1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8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2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hydratyzowane (gaszone)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i wodorotlenek magnezu, uzyskiwany przez prażenie i hydratyzowanie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12 %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1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8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2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wapna gaszonego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lub wodorotlenek magnezu, uzyskiwany przez prażenie i hydratyzowanie naturalnych złóż wapienia, wapienia magnezowego lub dolomitu i sporządzenie z nich zawiesiny wodnej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20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4131"/>
                  </w:tblGrid>
                  <w:tr w:rsidR="000C00C9" w:rsidRPr="000C00C9" w:rsidTr="00D60D9A">
                    <w:trPr>
                      <w:tblCellSpacing w:w="0" w:type="dxa"/>
                    </w:trPr>
                    <w:tc>
                      <w:tcPr>
                        <w:tcW w:w="128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4122" w:type="dxa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 jeśli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G.3. Wapno uzyskiwane w procesach przemysłowych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  <w:gridCol w:w="1318"/>
              <w:gridCol w:w="2852"/>
              <w:gridCol w:w="4277"/>
              <w:gridCol w:w="2141"/>
              <w:gridCol w:w="3228"/>
            </w:tblGrid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defekacyjne</w:t>
                  </w:r>
                </w:p>
              </w:tc>
              <w:tc>
                <w:tcPr>
                  <w:tcW w:w="10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pozostały po produkcji cukru, uzyskiwany przez karbonizację z wykorzystaniem wyłącznie wapna palonego ze źródeł naturalnych i zawierający jako główny składnik rozdrobniony węglan wapnia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20</w:t>
                  </w:r>
                </w:p>
              </w:tc>
              <w:tc>
                <w:tcPr>
                  <w:tcW w:w="7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wapna defekacyjnego</w:t>
                  </w:r>
                </w:p>
              </w:tc>
              <w:tc>
                <w:tcPr>
                  <w:tcW w:w="10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15</w:t>
                  </w:r>
                </w:p>
              </w:tc>
              <w:tc>
                <w:tcPr>
                  <w:tcW w:w="7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4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G.4. Wapno mieszane </w:t>
            </w:r>
          </w:p>
          <w:tbl>
            <w:tblPr>
              <w:tblW w:w="1401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1363"/>
              <w:gridCol w:w="2835"/>
              <w:gridCol w:w="4252"/>
              <w:gridCol w:w="2126"/>
              <w:gridCol w:w="3261"/>
            </w:tblGrid>
            <w:tr w:rsidR="000C00C9" w:rsidRPr="000C00C9" w:rsidTr="00D60D9A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1363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2835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4252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2126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3261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D60D9A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1363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mieszane</w:t>
                  </w:r>
                </w:p>
              </w:tc>
              <w:tc>
                <w:tcPr>
                  <w:tcW w:w="2835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uzyskiwany przez mieszanie typów wymienionych w sekcjach G1 i G2</w:t>
                  </w:r>
                </w:p>
              </w:tc>
              <w:tc>
                <w:tcPr>
                  <w:tcW w:w="4252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węglanów: 15 %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Maksymalna zawartość węglanów: 90 %</w:t>
                  </w:r>
                </w:p>
              </w:tc>
              <w:tc>
                <w:tcPr>
                  <w:tcW w:w="2126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Jeżeli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5 %, do nazwy typu należy dodać określenie »magnezowe«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3261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Typy określone w sekcjach G.1 i G.2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całkowity, jeśli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</w:tc>
            </w:tr>
          </w:tbl>
          <w:p w:rsidR="00D60D9A" w:rsidRPr="000C00C9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G.5. Mieszanki środków wapnujących z innymi typami nawozów WE</w:t>
            </w:r>
          </w:p>
        </w:tc>
      </w:tr>
      <w:tr w:rsidR="00D60D9A" w:rsidRPr="000C00C9" w:rsidTr="00D60D9A">
        <w:trPr>
          <w:trHeight w:val="2820"/>
          <w:tblCellSpacing w:w="0" w:type="dxa"/>
        </w:trPr>
        <w:tc>
          <w:tcPr>
            <w:tcW w:w="156" w:type="dxa"/>
            <w:hideMark/>
          </w:tcPr>
          <w:p w:rsidR="00D60D9A" w:rsidRPr="000C00C9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1108" w:type="dxa"/>
            <w:hideMark/>
          </w:tcPr>
          <w:p w:rsidR="00D60D9A" w:rsidRPr="000C00C9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Mieszanka [nazwa typu z sekcji G.1 do G.4] z [nazwa typu z sekcji A, B, D]</w:t>
            </w:r>
          </w:p>
        </w:tc>
        <w:tc>
          <w:tcPr>
            <w:tcW w:w="3299" w:type="dxa"/>
            <w:hideMark/>
          </w:tcPr>
          <w:p w:rsidR="00784AC4" w:rsidRDefault="00784AC4" w:rsidP="00784AC4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Pro</w:t>
            </w:r>
            <w:r w:rsidRPr="00784AC4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dukt uzyskiwany przez mieszanie, prasowanie lub granulowanie środków wapnujących wymienionych w sekcjach G.1 do G.4 z typami nawozów wymienionymi w sekcjach A, B lub D</w:t>
            </w:r>
          </w:p>
          <w:p w:rsidR="00784AC4" w:rsidRDefault="00784AC4" w:rsidP="00784AC4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784AC4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 Zabronione są następujące mieszanki:</w:t>
            </w:r>
          </w:p>
          <w:p w:rsidR="00784AC4" w:rsidRDefault="00784AC4" w:rsidP="00784AC4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784AC4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 — siarczan amonu (typ A.1.4) lub mocznik (typ A.1.9) z wapnem tlenkowym lub wodorotlenkowym wymienionym w sekcji G.2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   </w:t>
            </w:r>
          </w:p>
          <w:p w:rsidR="00D60D9A" w:rsidRPr="000C00C9" w:rsidRDefault="00D60D9A" w:rsidP="00784AC4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— mieszanie a następnie prasowanie lub granulowanie superfosfatów typów A.2.2 a), b) lub c) z dowolnymi typami opisanymi w sekcjach G.1 do G.4</w:t>
            </w:r>
          </w:p>
        </w:tc>
        <w:tc>
          <w:tcPr>
            <w:tcW w:w="4171" w:type="dxa"/>
            <w:hideMark/>
          </w:tcPr>
          <w:p w:rsidR="00D60D9A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Li</w:t>
            </w: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czba zobojętnienia: 15 </w:t>
            </w:r>
          </w:p>
          <w:p w:rsidR="00D60D9A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3 % N w przypadku mieszanek zawierających typy nawozów o minimalnej zawartości N </w:t>
            </w:r>
          </w:p>
          <w:p w:rsidR="00D60D9A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3 % P 2O 5 w przypadku mieszanek zawierających typy nawozów o minimalnej zawartości P </w:t>
            </w:r>
            <w:r w:rsidRPr="00784AC4"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  <w:t>2</w:t>
            </w: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O </w:t>
            </w:r>
            <w:r w:rsidRPr="00784AC4"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  <w:t>5</w:t>
            </w: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 </w:t>
            </w:r>
          </w:p>
          <w:p w:rsidR="00D60D9A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3 % K 2O w przypadku mieszanek zawierających typy nawozów o minimalnej zawartości K </w:t>
            </w:r>
            <w:r w:rsidRPr="00784AC4"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  <w:t>2</w:t>
            </w: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O </w:t>
            </w:r>
          </w:p>
          <w:p w:rsidR="00D60D9A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</w:p>
          <w:p w:rsidR="00D60D9A" w:rsidRPr="000C00C9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Potas w przeliczeniu na K </w:t>
            </w:r>
            <w:r w:rsidRPr="00784AC4"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  <w:t>2</w:t>
            </w: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O rozpuszczalny w wodzi</w:t>
            </w:r>
          </w:p>
        </w:tc>
        <w:tc>
          <w:tcPr>
            <w:tcW w:w="2034" w:type="dxa"/>
            <w:hideMark/>
          </w:tcPr>
          <w:p w:rsidR="00D60D9A" w:rsidRPr="000C00C9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Inne wymagania wymienione w poszczególnych pozycjach</w:t>
            </w:r>
          </w:p>
        </w:tc>
        <w:tc>
          <w:tcPr>
            <w:tcW w:w="4348" w:type="dxa"/>
            <w:gridSpan w:val="2"/>
            <w:hideMark/>
          </w:tcPr>
          <w:p w:rsidR="00D60D9A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Liczba zobojętnienia Składniki pokarmowe zgodnie z deklaracjami dla poszczególnych typów nawozów </w:t>
            </w:r>
          </w:p>
          <w:p w:rsidR="00D60D9A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Wapń całkowity </w:t>
            </w:r>
          </w:p>
          <w:p w:rsidR="00D60D9A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Magnez całkowity, jeśli </w:t>
            </w:r>
            <w:proofErr w:type="spellStart"/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MgO</w:t>
            </w:r>
            <w:proofErr w:type="spellEnd"/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 ≥ 3 % </w:t>
            </w:r>
          </w:p>
          <w:p w:rsidR="00D60D9A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Jeżeli zawartość chlorku nie przekracza 2 % Cl, można dodać informację „Niska zawartość chlorków”</w:t>
            </w:r>
          </w:p>
          <w:p w:rsidR="00D60D9A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 Wilgotność (nieobowiązkowo) </w:t>
            </w:r>
          </w:p>
          <w:p w:rsidR="00D60D9A" w:rsidRPr="000C00C9" w:rsidRDefault="00D60D9A" w:rsidP="00D60D9A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D60D9A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Uziarnienie (nieobowiązkowo)</w:t>
            </w:r>
          </w:p>
        </w:tc>
      </w:tr>
    </w:tbl>
    <w:p w:rsidR="000C00C9" w:rsidRPr="000C00C9" w:rsidRDefault="000C00C9" w:rsidP="000C00C9">
      <w:pPr>
        <w:spacing w:after="0" w:line="240" w:lineRule="auto"/>
        <w:rPr>
          <w:rFonts w:asciiTheme="minorHAnsi" w:hAnsiTheme="minorHAnsi" w:cstheme="minorHAnsi"/>
          <w:sz w:val="14"/>
          <w:szCs w:val="14"/>
        </w:rPr>
      </w:pPr>
      <w:bookmarkStart w:id="0" w:name="_GoBack"/>
      <w:bookmarkEnd w:id="0"/>
    </w:p>
    <w:sectPr w:rsidR="000C00C9" w:rsidRPr="000C00C9" w:rsidSect="000C00C9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C00C9"/>
    <w:rsid w:val="000C00C9"/>
    <w:rsid w:val="001A38B2"/>
    <w:rsid w:val="0050315D"/>
    <w:rsid w:val="0050594B"/>
    <w:rsid w:val="00784AC4"/>
    <w:rsid w:val="008325D5"/>
    <w:rsid w:val="00AB6815"/>
    <w:rsid w:val="00D479D4"/>
    <w:rsid w:val="00D6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C9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2830</Words>
  <Characters>16984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Lipiński</dc:creator>
  <cp:lastModifiedBy>adm</cp:lastModifiedBy>
  <cp:revision>2</cp:revision>
  <dcterms:created xsi:type="dcterms:W3CDTF">2019-08-23T10:48:00Z</dcterms:created>
  <dcterms:modified xsi:type="dcterms:W3CDTF">2019-08-23T10:48:00Z</dcterms:modified>
</cp:coreProperties>
</file>