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AA" w:rsidRPr="000408AA" w:rsidRDefault="000408AA" w:rsidP="000408AA">
      <w:pPr>
        <w:spacing w:after="0" w:line="276" w:lineRule="auto"/>
        <w:jc w:val="right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>Janów Lubelski, 28 czerwca 2024 r.</w:t>
      </w:r>
    </w:p>
    <w:p w:rsidR="000408AA" w:rsidRPr="000408AA" w:rsidRDefault="000408AA" w:rsidP="000408AA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noProof/>
          <w:szCs w:val="20"/>
          <w:lang w:eastAsia="pl-PL"/>
        </w:rPr>
        <w:drawing>
          <wp:inline distT="0" distB="0" distL="0" distR="0">
            <wp:extent cx="581025" cy="609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AA" w:rsidRPr="000408AA" w:rsidRDefault="000408AA" w:rsidP="000408AA">
      <w:pPr>
        <w:keepNext/>
        <w:tabs>
          <w:tab w:val="left" w:pos="1080"/>
        </w:tabs>
        <w:spacing w:after="0" w:line="240" w:lineRule="auto"/>
        <w:ind w:right="5386"/>
        <w:outlineLvl w:val="0"/>
        <w:rPr>
          <w:rFonts w:asciiTheme="minorHAnsi" w:eastAsia="Times New Roman" w:hAnsiTheme="minorHAnsi" w:cstheme="minorHAnsi"/>
          <w:b/>
          <w:bCs/>
          <w:kern w:val="32"/>
          <w:szCs w:val="20"/>
          <w:lang w:eastAsia="pl-PL"/>
        </w:rPr>
      </w:pPr>
      <w:r w:rsidRPr="000408AA">
        <w:rPr>
          <w:rFonts w:asciiTheme="minorHAnsi" w:eastAsia="Times New Roman" w:hAnsiTheme="minorHAnsi" w:cstheme="minorHAnsi"/>
          <w:b/>
          <w:bCs/>
          <w:kern w:val="32"/>
          <w:szCs w:val="20"/>
          <w:lang w:eastAsia="pl-PL"/>
        </w:rPr>
        <w:t>REGIONALNY DYREKTOR</w:t>
      </w:r>
    </w:p>
    <w:p w:rsidR="000408AA" w:rsidRPr="000408AA" w:rsidRDefault="000408AA" w:rsidP="000408AA">
      <w:pPr>
        <w:keepNext/>
        <w:tabs>
          <w:tab w:val="left" w:pos="1080"/>
        </w:tabs>
        <w:spacing w:after="0" w:line="240" w:lineRule="auto"/>
        <w:ind w:right="5386"/>
        <w:outlineLvl w:val="0"/>
        <w:rPr>
          <w:rFonts w:asciiTheme="minorHAnsi" w:eastAsia="Times New Roman" w:hAnsiTheme="minorHAnsi" w:cstheme="minorHAnsi"/>
          <w:b/>
          <w:bCs/>
          <w:kern w:val="32"/>
          <w:szCs w:val="20"/>
          <w:lang w:eastAsia="pl-PL"/>
        </w:rPr>
      </w:pPr>
      <w:r w:rsidRPr="000408AA">
        <w:rPr>
          <w:rFonts w:asciiTheme="minorHAnsi" w:eastAsia="Times New Roman" w:hAnsiTheme="minorHAnsi" w:cstheme="minorHAnsi"/>
          <w:b/>
          <w:bCs/>
          <w:kern w:val="32"/>
          <w:szCs w:val="20"/>
          <w:lang w:eastAsia="pl-PL"/>
        </w:rPr>
        <w:t xml:space="preserve">   OCHRONY ŚRODOWISKA</w:t>
      </w:r>
    </w:p>
    <w:p w:rsidR="000408AA" w:rsidRPr="000408AA" w:rsidRDefault="000408AA" w:rsidP="000408AA">
      <w:pPr>
        <w:keepNext/>
        <w:tabs>
          <w:tab w:val="left" w:pos="1080"/>
        </w:tabs>
        <w:spacing w:after="0" w:line="240" w:lineRule="auto"/>
        <w:ind w:right="5386"/>
        <w:outlineLvl w:val="0"/>
        <w:rPr>
          <w:rFonts w:asciiTheme="minorHAnsi" w:eastAsia="Times New Roman" w:hAnsiTheme="minorHAnsi" w:cstheme="minorHAnsi"/>
          <w:b/>
          <w:bCs/>
          <w:kern w:val="32"/>
          <w:szCs w:val="20"/>
          <w:lang w:eastAsia="pl-PL"/>
        </w:rPr>
      </w:pPr>
      <w:r w:rsidRPr="000408AA">
        <w:rPr>
          <w:rFonts w:asciiTheme="minorHAnsi" w:eastAsia="Times New Roman" w:hAnsiTheme="minorHAnsi" w:cstheme="minorHAnsi"/>
          <w:b/>
          <w:bCs/>
          <w:kern w:val="32"/>
          <w:szCs w:val="20"/>
          <w:lang w:eastAsia="pl-PL"/>
        </w:rPr>
        <w:t xml:space="preserve">             W LUBLINIE</w:t>
      </w:r>
    </w:p>
    <w:p w:rsidR="000408AA" w:rsidRPr="000408AA" w:rsidRDefault="000408AA" w:rsidP="000408AA">
      <w:pPr>
        <w:spacing w:after="200" w:line="276" w:lineRule="auto"/>
        <w:jc w:val="left"/>
        <w:rPr>
          <w:rFonts w:asciiTheme="minorHAnsi" w:hAnsiTheme="minorHAnsi" w:cstheme="minorHAnsi"/>
          <w:szCs w:val="20"/>
          <w:lang w:eastAsia="pl-PL"/>
        </w:rPr>
      </w:pPr>
    </w:p>
    <w:p w:rsidR="000408AA" w:rsidRPr="000408AA" w:rsidRDefault="000408AA" w:rsidP="000408AA">
      <w:pPr>
        <w:spacing w:after="20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0408AA">
        <w:rPr>
          <w:rFonts w:asciiTheme="minorHAnsi" w:hAnsiTheme="minorHAnsi" w:cstheme="minorHAnsi"/>
          <w:b/>
          <w:szCs w:val="20"/>
        </w:rPr>
        <w:t>WSTIV.410.13.2024.DS</w:t>
      </w:r>
    </w:p>
    <w:p w:rsidR="000408AA" w:rsidRPr="000408AA" w:rsidRDefault="000408AA" w:rsidP="000408AA">
      <w:pPr>
        <w:tabs>
          <w:tab w:val="left" w:pos="6663"/>
        </w:tabs>
        <w:spacing w:after="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0408AA">
        <w:rPr>
          <w:rFonts w:asciiTheme="minorHAnsi" w:hAnsiTheme="minorHAnsi" w:cstheme="minorHAnsi"/>
          <w:szCs w:val="20"/>
        </w:rPr>
        <w:tab/>
      </w:r>
      <w:r w:rsidRPr="000408AA">
        <w:rPr>
          <w:rFonts w:asciiTheme="minorHAnsi" w:hAnsiTheme="minorHAnsi" w:cstheme="minorHAnsi"/>
          <w:b/>
          <w:szCs w:val="20"/>
        </w:rPr>
        <w:t>Wójt Gminy Dzwola</w:t>
      </w:r>
    </w:p>
    <w:p w:rsidR="000408AA" w:rsidRPr="000408AA" w:rsidRDefault="000408AA" w:rsidP="000408AA">
      <w:pPr>
        <w:spacing w:after="0" w:line="276" w:lineRule="auto"/>
        <w:jc w:val="left"/>
        <w:rPr>
          <w:rFonts w:asciiTheme="minorHAnsi" w:hAnsiTheme="minorHAnsi" w:cstheme="minorHAnsi"/>
          <w:b/>
          <w:szCs w:val="20"/>
        </w:rPr>
      </w:pPr>
    </w:p>
    <w:p w:rsidR="000408AA" w:rsidRPr="000408AA" w:rsidRDefault="000408AA" w:rsidP="000408AA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>Regionalny Dyrektor Ochrony Środowiska w Lublinie w odpowiedzi na pis</w:t>
      </w:r>
      <w:r>
        <w:rPr>
          <w:rFonts w:asciiTheme="minorHAnsi" w:hAnsiTheme="minorHAnsi" w:cstheme="minorHAnsi"/>
          <w:szCs w:val="20"/>
        </w:rPr>
        <w:t>mo Wójta Gminy Dzwola</w:t>
      </w:r>
      <w:bookmarkStart w:id="0" w:name="_GoBack"/>
      <w:bookmarkEnd w:id="0"/>
      <w:r w:rsidRPr="000408AA">
        <w:rPr>
          <w:rFonts w:asciiTheme="minorHAnsi" w:hAnsiTheme="minorHAnsi" w:cstheme="minorHAnsi"/>
          <w:szCs w:val="20"/>
        </w:rPr>
        <w:t xml:space="preserve">, w sprawie uzgodnienia odstąpienia od obowiązku przeprowadzania strategicznej oceny oddziaływania na środowisko dla „Gminnego Programu Rewitalizacji Gminy Dzwola na lata 2022-2030” , na podstawie art. . 47 ust. 3 ustawy z dnia 3 października 2008 roku o udostępnianiu informacji o środowisku  jego ochronie, udziale społeczeństwa oraz ocenach oddziaływania na środowisko [Dz.U.Dz.U.2023.1094 t.j. z dnia 2023.06.12] </w:t>
      </w:r>
    </w:p>
    <w:p w:rsidR="000408AA" w:rsidRPr="000408AA" w:rsidRDefault="000408AA" w:rsidP="000408AA">
      <w:pPr>
        <w:tabs>
          <w:tab w:val="left" w:pos="3765"/>
          <w:tab w:val="center" w:pos="4536"/>
        </w:tabs>
        <w:spacing w:after="20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0408AA">
        <w:rPr>
          <w:rFonts w:asciiTheme="minorHAnsi" w:hAnsiTheme="minorHAnsi" w:cstheme="minorHAnsi"/>
          <w:b/>
          <w:szCs w:val="20"/>
        </w:rPr>
        <w:tab/>
      </w:r>
      <w:r w:rsidRPr="000408AA">
        <w:rPr>
          <w:rFonts w:asciiTheme="minorHAnsi" w:hAnsiTheme="minorHAnsi" w:cstheme="minorHAnsi"/>
          <w:b/>
          <w:szCs w:val="20"/>
        </w:rPr>
        <w:tab/>
        <w:t>POSTANAWIA</w:t>
      </w:r>
    </w:p>
    <w:p w:rsidR="000408AA" w:rsidRPr="000408AA" w:rsidRDefault="000408AA" w:rsidP="000408AA">
      <w:pPr>
        <w:rPr>
          <w:rFonts w:asciiTheme="minorHAnsi" w:hAnsiTheme="minorHAnsi" w:cstheme="minorHAnsi"/>
          <w:b/>
          <w:szCs w:val="20"/>
        </w:rPr>
      </w:pPr>
      <w:r w:rsidRPr="000408AA">
        <w:rPr>
          <w:rFonts w:asciiTheme="minorHAnsi" w:hAnsiTheme="minorHAnsi" w:cstheme="minorHAnsi"/>
          <w:b/>
          <w:szCs w:val="20"/>
        </w:rPr>
        <w:t>uzgodnić odstąpienie od przeprowadzenia strategicznej oceny oddziaływania na środowisko dla projektu Gminnego Programu Rewitalizacji Gminy Dzwola na lata 2022-2030.</w:t>
      </w:r>
    </w:p>
    <w:p w:rsidR="000408AA" w:rsidRPr="000408AA" w:rsidRDefault="000408AA" w:rsidP="000408AA">
      <w:pPr>
        <w:jc w:val="center"/>
        <w:rPr>
          <w:rFonts w:asciiTheme="minorHAnsi" w:hAnsiTheme="minorHAnsi" w:cstheme="minorHAnsi"/>
          <w:b/>
          <w:szCs w:val="20"/>
        </w:rPr>
      </w:pPr>
    </w:p>
    <w:p w:rsidR="000408AA" w:rsidRPr="000408AA" w:rsidRDefault="000408AA" w:rsidP="000408AA">
      <w:pPr>
        <w:jc w:val="center"/>
        <w:rPr>
          <w:rFonts w:asciiTheme="minorHAnsi" w:hAnsiTheme="minorHAnsi" w:cstheme="minorHAnsi"/>
          <w:b/>
          <w:szCs w:val="20"/>
        </w:rPr>
      </w:pPr>
      <w:r w:rsidRPr="000408AA">
        <w:rPr>
          <w:rFonts w:asciiTheme="minorHAnsi" w:hAnsiTheme="minorHAnsi" w:cstheme="minorHAnsi"/>
          <w:b/>
          <w:szCs w:val="20"/>
        </w:rPr>
        <w:t>UZASADNIENIE</w:t>
      </w:r>
    </w:p>
    <w:p w:rsidR="000408AA" w:rsidRPr="000408AA" w:rsidRDefault="000408AA" w:rsidP="000408AA">
      <w:pPr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 xml:space="preserve">Wójt Gminy Dzwola, zwrócił się z wnioskiem o uzgodnienie odstąpienia od obowiązku przeprowadzania strategicznej oceny oddziaływania na środowisko dla projektu „Gminnego Programu Rewitalizacji Gminy Dzwola na lata 2022-2030” . </w:t>
      </w:r>
    </w:p>
    <w:p w:rsidR="000408AA" w:rsidRPr="000408AA" w:rsidRDefault="000408AA" w:rsidP="000408AA">
      <w:pPr>
        <w:tabs>
          <w:tab w:val="left" w:pos="6521"/>
        </w:tabs>
        <w:spacing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>Zgodnie z art. 48 ust. 1 ustawy z dnia 3 października 2008 roku o udostępnianiu informacji o środowisku  jego ochronie, udziale społeczeństwa oraz ocenach oddziaływania na środowisko– zwaną dalej ustawą OOŚ, organ opracowujący projekt  dokumentu,</w:t>
      </w:r>
      <w:r w:rsidRPr="000408AA">
        <w:rPr>
          <w:rFonts w:asciiTheme="minorHAnsi" w:eastAsia="Times New Roman" w:hAnsiTheme="minorHAnsi" w:cstheme="minorHAnsi"/>
          <w:szCs w:val="20"/>
          <w:lang w:eastAsia="pl-PL"/>
        </w:rPr>
        <w:t xml:space="preserve"> o którym mowa w art. 46 ust. 1 pkt 2,</w:t>
      </w:r>
      <w:r w:rsidRPr="000408AA">
        <w:rPr>
          <w:rFonts w:asciiTheme="minorHAnsi" w:hAnsiTheme="minorHAnsi" w:cstheme="minorHAnsi"/>
          <w:szCs w:val="20"/>
        </w:rPr>
        <w:t xml:space="preserve"> może, po uzgodnieniu z właściwymi organami, w tym regionalnym dyrektorem ochrony środowiska, odstąpić od przeprowadzenia strategicznej oceny oddziaływania na środowisko, jeżeli stwierdzi, że realizacja postanowień takiego dokumentu albo jego zmiany nie spowoduje znaczącego oddziaływania na środowisko, w tym na obszary Natura 2000. </w:t>
      </w:r>
    </w:p>
    <w:p w:rsidR="000408AA" w:rsidRPr="000408AA" w:rsidRDefault="000408AA" w:rsidP="000408AA">
      <w:pPr>
        <w:spacing w:before="240" w:after="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eastAsia="Times New Roman" w:hAnsiTheme="minorHAnsi" w:cstheme="minorHAnsi"/>
          <w:szCs w:val="20"/>
          <w:lang w:eastAsia="pl-PL"/>
        </w:rPr>
        <w:t xml:space="preserve">Na terenie, który obejmuje swoimi założeniami projekt </w:t>
      </w:r>
      <w:r w:rsidRPr="000408AA">
        <w:rPr>
          <w:rFonts w:asciiTheme="minorHAnsi" w:hAnsiTheme="minorHAnsi" w:cstheme="minorHAnsi"/>
          <w:szCs w:val="20"/>
        </w:rPr>
        <w:t xml:space="preserve">„Gminnego Programu Rewitalizacji Gminy Dzwola na lata 2022-2030”, znajdują się obszary Natura 2000 PLH060005 Lasy Janowskie praz PLB060031 Uroczyska Lasów Janowskich, których funkcjonowanie regulują następujące akty prawne: </w:t>
      </w:r>
      <w:r w:rsidRPr="000408AA">
        <w:rPr>
          <w:rFonts w:asciiTheme="minorHAnsi" w:hAnsiTheme="minorHAnsi" w:cstheme="minorHAnsi"/>
          <w:i/>
          <w:szCs w:val="20"/>
        </w:rPr>
        <w:t xml:space="preserve">Rozporządzenie Ministra Środowiska z dnia 12 stycznia 2011 r w sprawie obszarów specjalnej ochrony ptaków </w:t>
      </w:r>
      <w:r w:rsidRPr="000408AA">
        <w:rPr>
          <w:rFonts w:asciiTheme="minorHAnsi" w:hAnsiTheme="minorHAnsi" w:cstheme="minorHAnsi"/>
          <w:szCs w:val="20"/>
        </w:rPr>
        <w:t xml:space="preserve">[Dz.U.2011.25.133 z dnia 2011.02.04] , </w:t>
      </w:r>
      <w:r w:rsidRPr="000408AA">
        <w:rPr>
          <w:rFonts w:asciiTheme="minorHAnsi" w:hAnsiTheme="minorHAnsi" w:cstheme="minorHAnsi"/>
          <w:i/>
          <w:szCs w:val="20"/>
        </w:rPr>
        <w:t xml:space="preserve">Zarządzenie Regionalnego Dyrektora Ochrony Środowiska w Lublinie i Regionalnego Dyrektora Środowiska w Rzeszowie z dnia 8 lutego 2021 r. w sprawie ustanowienia planu zadań ochronnych dla obszaru Natura 2000 Lasy Janowskie </w:t>
      </w:r>
      <w:r w:rsidRPr="000408AA">
        <w:rPr>
          <w:rFonts w:asciiTheme="minorHAnsi" w:hAnsiTheme="minorHAnsi" w:cstheme="minorHAnsi"/>
          <w:szCs w:val="20"/>
        </w:rPr>
        <w:t xml:space="preserve">[Lubel. 2021.719] oraz </w:t>
      </w:r>
      <w:r w:rsidRPr="000408AA">
        <w:rPr>
          <w:rFonts w:asciiTheme="minorHAnsi" w:hAnsiTheme="minorHAnsi" w:cstheme="minorHAnsi"/>
          <w:i/>
          <w:szCs w:val="20"/>
        </w:rPr>
        <w:t>Rozporządzenie Ministra Klimatu i Środowiska z dnia 13 września 2023 r. w sprawie specjalnego obszaru ochrony siedlisk Uroczyska Lasów Janowskich (PLH060031)</w:t>
      </w:r>
      <w:r w:rsidRPr="000408AA">
        <w:rPr>
          <w:rFonts w:asciiTheme="minorHAnsi" w:hAnsiTheme="minorHAnsi" w:cstheme="minorHAnsi"/>
          <w:szCs w:val="20"/>
        </w:rPr>
        <w:t xml:space="preserve"> [Dz.U.2023.2164 z dnia 2023.10.09].</w:t>
      </w:r>
    </w:p>
    <w:p w:rsidR="000408AA" w:rsidRPr="000408AA" w:rsidRDefault="000408AA" w:rsidP="000408AA">
      <w:pPr>
        <w:spacing w:before="240" w:after="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 xml:space="preserve">W przypadku obszaru PLB060005 Lasy Janowskie przedmiotami ochrony dla tego obszaru są następujące gatunki ptaków: włochatka </w:t>
      </w:r>
      <w:r w:rsidRPr="000408AA">
        <w:rPr>
          <w:rFonts w:asciiTheme="minorHAnsi" w:hAnsiTheme="minorHAnsi" w:cstheme="minorHAnsi"/>
          <w:i/>
          <w:szCs w:val="20"/>
        </w:rPr>
        <w:t>Aegolius funereus</w:t>
      </w:r>
      <w:r w:rsidRPr="000408AA">
        <w:rPr>
          <w:rFonts w:asciiTheme="minorHAnsi" w:hAnsiTheme="minorHAnsi" w:cstheme="minorHAnsi"/>
          <w:szCs w:val="20"/>
        </w:rPr>
        <w:t xml:space="preserve">, lelek </w:t>
      </w:r>
      <w:r w:rsidRPr="000408AA">
        <w:rPr>
          <w:rFonts w:asciiTheme="minorHAnsi" w:hAnsiTheme="minorHAnsi" w:cstheme="minorHAnsi"/>
          <w:i/>
          <w:szCs w:val="20"/>
        </w:rPr>
        <w:t>Caprimulgus europaeus</w:t>
      </w:r>
      <w:r w:rsidRPr="000408AA">
        <w:rPr>
          <w:rFonts w:asciiTheme="minorHAnsi" w:hAnsiTheme="minorHAnsi" w:cstheme="minorHAnsi"/>
          <w:szCs w:val="20"/>
        </w:rPr>
        <w:t xml:space="preserve">, bocian czarny </w:t>
      </w:r>
      <w:r w:rsidRPr="000408AA">
        <w:rPr>
          <w:rFonts w:asciiTheme="minorHAnsi" w:hAnsiTheme="minorHAnsi" w:cstheme="minorHAnsi"/>
          <w:i/>
          <w:szCs w:val="20"/>
        </w:rPr>
        <w:t xml:space="preserve">Ciconia nigra, </w:t>
      </w:r>
      <w:r w:rsidRPr="000408AA">
        <w:rPr>
          <w:rFonts w:asciiTheme="minorHAnsi" w:hAnsiTheme="minorHAnsi" w:cstheme="minorHAnsi"/>
          <w:szCs w:val="20"/>
        </w:rPr>
        <w:t xml:space="preserve">błotniak stawowy </w:t>
      </w:r>
      <w:r w:rsidRPr="000408AA">
        <w:rPr>
          <w:rFonts w:asciiTheme="minorHAnsi" w:hAnsiTheme="minorHAnsi" w:cstheme="minorHAnsi"/>
          <w:i/>
          <w:szCs w:val="20"/>
        </w:rPr>
        <w:t>Circus aeruginosus</w:t>
      </w:r>
      <w:r w:rsidRPr="000408AA">
        <w:rPr>
          <w:rFonts w:asciiTheme="minorHAnsi" w:hAnsiTheme="minorHAnsi" w:cstheme="minorHAnsi"/>
          <w:szCs w:val="20"/>
        </w:rPr>
        <w:t xml:space="preserve">, dzięcioł czarny </w:t>
      </w:r>
      <w:r w:rsidRPr="000408AA">
        <w:rPr>
          <w:rFonts w:asciiTheme="minorHAnsi" w:hAnsiTheme="minorHAnsi" w:cstheme="minorHAnsi"/>
          <w:i/>
          <w:szCs w:val="20"/>
        </w:rPr>
        <w:t>Dryocopus martius</w:t>
      </w:r>
      <w:r w:rsidRPr="000408AA">
        <w:rPr>
          <w:rFonts w:asciiTheme="minorHAnsi" w:hAnsiTheme="minorHAnsi" w:cstheme="minorHAnsi"/>
          <w:szCs w:val="20"/>
        </w:rPr>
        <w:t xml:space="preserve">, bielik </w:t>
      </w:r>
      <w:r w:rsidRPr="000408AA">
        <w:rPr>
          <w:rFonts w:asciiTheme="minorHAnsi" w:hAnsiTheme="minorHAnsi" w:cstheme="minorHAnsi"/>
          <w:i/>
          <w:szCs w:val="20"/>
        </w:rPr>
        <w:lastRenderedPageBreak/>
        <w:t>Haliaeetus albicilla</w:t>
      </w:r>
      <w:r w:rsidRPr="000408AA">
        <w:rPr>
          <w:rFonts w:asciiTheme="minorHAnsi" w:hAnsiTheme="minorHAnsi" w:cstheme="minorHAnsi"/>
          <w:szCs w:val="20"/>
        </w:rPr>
        <w:t xml:space="preserve">, bączek </w:t>
      </w:r>
      <w:r w:rsidRPr="000408AA">
        <w:rPr>
          <w:rFonts w:asciiTheme="minorHAnsi" w:hAnsiTheme="minorHAnsi" w:cstheme="minorHAnsi"/>
          <w:i/>
          <w:szCs w:val="20"/>
        </w:rPr>
        <w:t>Ixobrychus minutus</w:t>
      </w:r>
      <w:r w:rsidRPr="000408AA">
        <w:rPr>
          <w:rFonts w:asciiTheme="minorHAnsi" w:hAnsiTheme="minorHAnsi" w:cstheme="minorHAnsi"/>
          <w:szCs w:val="20"/>
        </w:rPr>
        <w:t xml:space="preserve">, dzięcioł zielonosiwy </w:t>
      </w:r>
      <w:r w:rsidRPr="000408AA">
        <w:rPr>
          <w:rFonts w:asciiTheme="minorHAnsi" w:hAnsiTheme="minorHAnsi" w:cstheme="minorHAnsi"/>
          <w:i/>
          <w:szCs w:val="20"/>
        </w:rPr>
        <w:t>Picus canus</w:t>
      </w:r>
      <w:r w:rsidRPr="000408AA">
        <w:rPr>
          <w:rFonts w:asciiTheme="minorHAnsi" w:hAnsiTheme="minorHAnsi" w:cstheme="minorHAnsi"/>
          <w:szCs w:val="20"/>
        </w:rPr>
        <w:t xml:space="preserve"> oraz głuszec </w:t>
      </w:r>
      <w:r w:rsidRPr="000408AA">
        <w:rPr>
          <w:rFonts w:asciiTheme="minorHAnsi" w:hAnsiTheme="minorHAnsi" w:cstheme="minorHAnsi"/>
          <w:i/>
          <w:szCs w:val="20"/>
        </w:rPr>
        <w:t xml:space="preserve">Tetrao urogallus. </w:t>
      </w:r>
      <w:r w:rsidRPr="000408AA">
        <w:rPr>
          <w:rFonts w:asciiTheme="minorHAnsi" w:hAnsiTheme="minorHAnsi" w:cstheme="minorHAnsi"/>
          <w:szCs w:val="20"/>
        </w:rPr>
        <w:t>Celami działań ochronnych dla tych gatunków jest utrzymanie stanu populacji lub poprawa jej stanu do określonego poziomu.</w:t>
      </w:r>
    </w:p>
    <w:p w:rsidR="000408AA" w:rsidRPr="000408AA" w:rsidRDefault="000408AA" w:rsidP="000408AA">
      <w:pPr>
        <w:spacing w:before="24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>W przypadku obszaru PLH060031 Uroczyska Lasów Janowskich przedmiotami ochrony są siedliska przyrodnicze [2330 Wydmy śródlądowe z murawami napiaskowymi (</w:t>
      </w:r>
      <w:r w:rsidRPr="000408AA">
        <w:rPr>
          <w:rFonts w:asciiTheme="minorHAnsi" w:hAnsiTheme="minorHAnsi" w:cstheme="minorHAnsi"/>
          <w:i/>
          <w:szCs w:val="20"/>
        </w:rPr>
        <w:t>Corynephorus, Agrostis</w:t>
      </w:r>
      <w:r w:rsidRPr="000408AA">
        <w:rPr>
          <w:rFonts w:asciiTheme="minorHAnsi" w:hAnsiTheme="minorHAnsi" w:cstheme="minorHAnsi"/>
          <w:szCs w:val="20"/>
        </w:rPr>
        <w:t xml:space="preserve">); 3130 Brzegi lub osuszane dna zbiorników wodnych ze zbiorowiskami z </w:t>
      </w:r>
      <w:r w:rsidRPr="000408AA">
        <w:rPr>
          <w:rFonts w:asciiTheme="minorHAnsi" w:hAnsiTheme="minorHAnsi" w:cstheme="minorHAnsi"/>
          <w:i/>
          <w:szCs w:val="20"/>
        </w:rPr>
        <w:t>Littorelletea, Isoeto Nanojuncetea</w:t>
      </w:r>
      <w:r w:rsidRPr="000408AA">
        <w:rPr>
          <w:rFonts w:asciiTheme="minorHAnsi" w:hAnsiTheme="minorHAnsi" w:cstheme="minorHAnsi"/>
          <w:szCs w:val="20"/>
        </w:rPr>
        <w:t>; 3260 Nizinne i podgórskie rzeki ze zbiorowiskami włosieniczników (</w:t>
      </w:r>
      <w:r w:rsidRPr="000408AA">
        <w:rPr>
          <w:rFonts w:asciiTheme="minorHAnsi" w:hAnsiTheme="minorHAnsi" w:cstheme="minorHAnsi"/>
          <w:i/>
          <w:szCs w:val="20"/>
        </w:rPr>
        <w:t>Ranunculion fluitantis</w:t>
      </w:r>
      <w:r w:rsidRPr="000408AA">
        <w:rPr>
          <w:rFonts w:asciiTheme="minorHAnsi" w:hAnsiTheme="minorHAnsi" w:cstheme="minorHAnsi"/>
          <w:szCs w:val="20"/>
        </w:rPr>
        <w:t>); 4030 Suche wrzosowiska (</w:t>
      </w:r>
      <w:r w:rsidRPr="000408AA">
        <w:rPr>
          <w:rFonts w:asciiTheme="minorHAnsi" w:hAnsiTheme="minorHAnsi" w:cstheme="minorHAnsi"/>
          <w:i/>
          <w:szCs w:val="20"/>
        </w:rPr>
        <w:t>Calluno-Genistion, Pohlio Callunion, Calluno-Arctostaphylion</w:t>
      </w:r>
      <w:r w:rsidRPr="000408AA">
        <w:rPr>
          <w:rFonts w:asciiTheme="minorHAnsi" w:hAnsiTheme="minorHAnsi" w:cstheme="minorHAnsi"/>
          <w:szCs w:val="20"/>
        </w:rPr>
        <w:t>); 6120 Ciepłolubne, śródlądowe murawy napiaskowe (</w:t>
      </w:r>
      <w:r w:rsidRPr="000408AA">
        <w:rPr>
          <w:rFonts w:asciiTheme="minorHAnsi" w:hAnsiTheme="minorHAnsi" w:cstheme="minorHAnsi"/>
          <w:i/>
          <w:szCs w:val="20"/>
        </w:rPr>
        <w:t>Koelerion glaucae</w:t>
      </w:r>
      <w:r w:rsidRPr="000408AA">
        <w:rPr>
          <w:rFonts w:asciiTheme="minorHAnsi" w:hAnsiTheme="minorHAnsi" w:cstheme="minorHAnsi"/>
          <w:szCs w:val="20"/>
        </w:rPr>
        <w:t xml:space="preserve">); 6230 Górskie i niżowe murawy bliźniczkowe </w:t>
      </w:r>
      <w:r w:rsidRPr="000408AA">
        <w:rPr>
          <w:rFonts w:asciiTheme="minorHAnsi" w:hAnsiTheme="minorHAnsi" w:cstheme="minorHAnsi"/>
          <w:i/>
          <w:szCs w:val="20"/>
        </w:rPr>
        <w:t>(Nardion</w:t>
      </w:r>
      <w:r w:rsidRPr="000408AA">
        <w:rPr>
          <w:rFonts w:asciiTheme="minorHAnsi" w:hAnsiTheme="minorHAnsi" w:cstheme="minorHAnsi"/>
          <w:szCs w:val="20"/>
        </w:rPr>
        <w:t xml:space="preserve"> - płaty bogate florystycznie); 6410 Zmiennowilgotne łąki trzęślicowe (</w:t>
      </w:r>
      <w:r w:rsidRPr="000408AA">
        <w:rPr>
          <w:rFonts w:asciiTheme="minorHAnsi" w:hAnsiTheme="minorHAnsi" w:cstheme="minorHAnsi"/>
          <w:i/>
          <w:szCs w:val="20"/>
        </w:rPr>
        <w:t>Molinion</w:t>
      </w:r>
      <w:r w:rsidRPr="000408AA">
        <w:rPr>
          <w:rFonts w:asciiTheme="minorHAnsi" w:hAnsiTheme="minorHAnsi" w:cstheme="minorHAnsi"/>
          <w:szCs w:val="20"/>
        </w:rPr>
        <w:t>); 6510 Niżowe i górskie świeże łąki użytkowane ekstensywnie (</w:t>
      </w:r>
      <w:r w:rsidRPr="000408AA">
        <w:rPr>
          <w:rFonts w:asciiTheme="minorHAnsi" w:hAnsiTheme="minorHAnsi" w:cstheme="minorHAnsi"/>
          <w:i/>
          <w:szCs w:val="20"/>
        </w:rPr>
        <w:t>Arrhenatherion elatioris</w:t>
      </w:r>
      <w:r w:rsidRPr="000408AA">
        <w:rPr>
          <w:rFonts w:asciiTheme="minorHAnsi" w:hAnsiTheme="minorHAnsi" w:cstheme="minorHAnsi"/>
          <w:szCs w:val="20"/>
        </w:rPr>
        <w:t xml:space="preserve">); 7110 Torfowiska wysokie z roślinnością torfotwórczą (żywe); 7140 Torfowiska przejściowe i trzęsawiska (przeważnie z roślinnością z </w:t>
      </w:r>
      <w:r w:rsidRPr="000408AA">
        <w:rPr>
          <w:rFonts w:asciiTheme="minorHAnsi" w:hAnsiTheme="minorHAnsi" w:cstheme="minorHAnsi"/>
          <w:i/>
          <w:szCs w:val="20"/>
        </w:rPr>
        <w:t>Scheuchzerio-Caricetea</w:t>
      </w:r>
      <w:r w:rsidRPr="000408AA">
        <w:rPr>
          <w:rFonts w:asciiTheme="minorHAnsi" w:hAnsiTheme="minorHAnsi" w:cstheme="minorHAnsi"/>
          <w:szCs w:val="20"/>
        </w:rPr>
        <w:t xml:space="preserve">); 7150 Obniżenia na podłożu torfowym z roślinnością ze związku </w:t>
      </w:r>
      <w:r w:rsidRPr="000408AA">
        <w:rPr>
          <w:rFonts w:asciiTheme="minorHAnsi" w:hAnsiTheme="minorHAnsi" w:cstheme="minorHAnsi"/>
          <w:i/>
          <w:szCs w:val="20"/>
        </w:rPr>
        <w:t>Rhynchosporion</w:t>
      </w:r>
      <w:r w:rsidRPr="000408AA">
        <w:rPr>
          <w:rFonts w:asciiTheme="minorHAnsi" w:hAnsiTheme="minorHAnsi" w:cstheme="minorHAnsi"/>
          <w:szCs w:val="20"/>
        </w:rPr>
        <w:t>; 9170 Grąd środkowoeuropejski i subkontynentalny (</w:t>
      </w:r>
      <w:r w:rsidRPr="000408AA">
        <w:rPr>
          <w:rFonts w:asciiTheme="minorHAnsi" w:hAnsiTheme="minorHAnsi" w:cstheme="minorHAnsi"/>
          <w:i/>
          <w:szCs w:val="20"/>
        </w:rPr>
        <w:t>Galio-Carpinetum, Tilio-Carpinetum</w:t>
      </w:r>
      <w:r w:rsidRPr="000408AA">
        <w:rPr>
          <w:rFonts w:asciiTheme="minorHAnsi" w:hAnsiTheme="minorHAnsi" w:cstheme="minorHAnsi"/>
          <w:szCs w:val="20"/>
        </w:rPr>
        <w:t>); 91D0 Bory i lasy bagienne (</w:t>
      </w:r>
      <w:r w:rsidRPr="000408AA">
        <w:rPr>
          <w:rFonts w:asciiTheme="minorHAnsi" w:hAnsiTheme="minorHAnsi" w:cstheme="minorHAnsi"/>
          <w:i/>
          <w:szCs w:val="20"/>
        </w:rPr>
        <w:t>Vaccinio uliginosi Betuletum pubescentis, Vaccinio uliginosi Pinetum, Pino mugo-Sphagnetum, Sphagno girgensohnii-Piceetum</w:t>
      </w:r>
      <w:r w:rsidRPr="000408AA">
        <w:rPr>
          <w:rFonts w:asciiTheme="minorHAnsi" w:hAnsiTheme="minorHAnsi" w:cstheme="minorHAnsi"/>
          <w:szCs w:val="20"/>
        </w:rPr>
        <w:t>) i brzozowo-sosnowe bagienne lasy borealne; 91E0 Łęgi wierzbowe, topolowe, olszowe i jesionowe (</w:t>
      </w:r>
      <w:r w:rsidRPr="000408AA">
        <w:rPr>
          <w:rFonts w:asciiTheme="minorHAnsi" w:hAnsiTheme="minorHAnsi" w:cstheme="minorHAnsi"/>
          <w:i/>
          <w:szCs w:val="20"/>
        </w:rPr>
        <w:t>Salicetum albo-fragilis, Populetum albae, Alnenion glutinoso-incanae</w:t>
      </w:r>
      <w:r w:rsidRPr="000408AA">
        <w:rPr>
          <w:rFonts w:asciiTheme="minorHAnsi" w:hAnsiTheme="minorHAnsi" w:cstheme="minorHAnsi"/>
          <w:szCs w:val="20"/>
        </w:rPr>
        <w:t>) i olsy źródliskowe; 91P0 Wyżynny jodłowy bór mieszany (</w:t>
      </w:r>
      <w:r w:rsidRPr="000408AA">
        <w:rPr>
          <w:rFonts w:asciiTheme="minorHAnsi" w:hAnsiTheme="minorHAnsi" w:cstheme="minorHAnsi"/>
          <w:i/>
          <w:szCs w:val="20"/>
        </w:rPr>
        <w:t>Abietetum polonicum</w:t>
      </w:r>
      <w:r w:rsidRPr="000408AA">
        <w:rPr>
          <w:rFonts w:asciiTheme="minorHAnsi" w:hAnsiTheme="minorHAnsi" w:cstheme="minorHAnsi"/>
          <w:szCs w:val="20"/>
        </w:rPr>
        <w:t xml:space="preserve">)], gatunki roślin [sasanka otwarta </w:t>
      </w:r>
      <w:r w:rsidRPr="000408AA">
        <w:rPr>
          <w:rFonts w:asciiTheme="minorHAnsi" w:hAnsiTheme="minorHAnsi" w:cstheme="minorHAnsi"/>
          <w:i/>
          <w:szCs w:val="20"/>
        </w:rPr>
        <w:t>Pulsatila patens</w:t>
      </w:r>
      <w:r w:rsidRPr="000408AA">
        <w:rPr>
          <w:rFonts w:asciiTheme="minorHAnsi" w:hAnsiTheme="minorHAnsi" w:cstheme="minorHAnsi"/>
          <w:szCs w:val="20"/>
        </w:rPr>
        <w:t xml:space="preserve"> oraz starodub łąkowy </w:t>
      </w:r>
      <w:r w:rsidRPr="000408AA">
        <w:rPr>
          <w:rFonts w:asciiTheme="minorHAnsi" w:hAnsiTheme="minorHAnsi" w:cstheme="minorHAnsi"/>
          <w:i/>
          <w:szCs w:val="20"/>
        </w:rPr>
        <w:t>Angelica palustris</w:t>
      </w:r>
      <w:r w:rsidRPr="000408AA">
        <w:rPr>
          <w:rFonts w:asciiTheme="minorHAnsi" w:hAnsiTheme="minorHAnsi" w:cstheme="minorHAnsi"/>
          <w:szCs w:val="20"/>
        </w:rPr>
        <w:t xml:space="preserve"> ] gatunki zwierząt [ bóbr europejski </w:t>
      </w:r>
      <w:r w:rsidRPr="000408AA">
        <w:rPr>
          <w:rFonts w:asciiTheme="minorHAnsi" w:hAnsiTheme="minorHAnsi" w:cstheme="minorHAnsi"/>
          <w:i/>
          <w:szCs w:val="20"/>
        </w:rPr>
        <w:t>Castor fiber</w:t>
      </w:r>
      <w:r w:rsidRPr="000408AA">
        <w:rPr>
          <w:rFonts w:asciiTheme="minorHAnsi" w:hAnsiTheme="minorHAnsi" w:cstheme="minorHAnsi"/>
          <w:szCs w:val="20"/>
        </w:rPr>
        <w:t xml:space="preserve">, czerwończyk nieparek </w:t>
      </w:r>
      <w:r w:rsidRPr="000408AA">
        <w:rPr>
          <w:rFonts w:asciiTheme="minorHAnsi" w:hAnsiTheme="minorHAnsi" w:cstheme="minorHAnsi"/>
          <w:i/>
          <w:szCs w:val="20"/>
        </w:rPr>
        <w:t>Lycaena dispar</w:t>
      </w:r>
      <w:r w:rsidRPr="000408AA">
        <w:rPr>
          <w:rFonts w:asciiTheme="minorHAnsi" w:hAnsiTheme="minorHAnsi" w:cstheme="minorHAnsi"/>
          <w:szCs w:val="20"/>
        </w:rPr>
        <w:t xml:space="preserve">, głowacz białopetwy </w:t>
      </w:r>
      <w:r w:rsidRPr="000408AA">
        <w:rPr>
          <w:rFonts w:asciiTheme="minorHAnsi" w:hAnsiTheme="minorHAnsi" w:cstheme="minorHAnsi"/>
          <w:i/>
          <w:szCs w:val="20"/>
        </w:rPr>
        <w:t>Cottus gobio</w:t>
      </w:r>
      <w:r w:rsidRPr="000408AA">
        <w:rPr>
          <w:rFonts w:asciiTheme="minorHAnsi" w:hAnsiTheme="minorHAnsi" w:cstheme="minorHAnsi"/>
          <w:szCs w:val="20"/>
        </w:rPr>
        <w:t xml:space="preserve">, kumak nizinny </w:t>
      </w:r>
      <w:r w:rsidRPr="000408AA">
        <w:rPr>
          <w:rFonts w:asciiTheme="minorHAnsi" w:hAnsiTheme="minorHAnsi" w:cstheme="minorHAnsi"/>
          <w:i/>
          <w:szCs w:val="20"/>
        </w:rPr>
        <w:t>Bombina bombina</w:t>
      </w:r>
      <w:r w:rsidRPr="000408AA">
        <w:rPr>
          <w:rFonts w:asciiTheme="minorHAnsi" w:hAnsiTheme="minorHAnsi" w:cstheme="minorHAnsi"/>
          <w:szCs w:val="20"/>
        </w:rPr>
        <w:t xml:space="preserve">, minóg strumieniowy </w:t>
      </w:r>
      <w:r w:rsidRPr="000408AA">
        <w:rPr>
          <w:rFonts w:asciiTheme="minorHAnsi" w:hAnsiTheme="minorHAnsi" w:cstheme="minorHAnsi"/>
          <w:i/>
          <w:szCs w:val="20"/>
        </w:rPr>
        <w:t>Lampetra planeri,</w:t>
      </w:r>
      <w:r w:rsidRPr="000408AA">
        <w:rPr>
          <w:rFonts w:asciiTheme="minorHAnsi" w:hAnsiTheme="minorHAnsi" w:cstheme="minorHAnsi"/>
          <w:szCs w:val="20"/>
        </w:rPr>
        <w:t xml:space="preserve"> modraszek nausitous </w:t>
      </w:r>
      <w:r w:rsidRPr="000408AA">
        <w:rPr>
          <w:rFonts w:asciiTheme="minorHAnsi" w:hAnsiTheme="minorHAnsi" w:cstheme="minorHAnsi"/>
          <w:i/>
          <w:szCs w:val="20"/>
        </w:rPr>
        <w:t>Maculinea (Phengaris) nausithous</w:t>
      </w:r>
      <w:r w:rsidRPr="000408AA">
        <w:rPr>
          <w:rFonts w:asciiTheme="minorHAnsi" w:hAnsiTheme="minorHAnsi" w:cstheme="minorHAnsi"/>
          <w:szCs w:val="20"/>
        </w:rPr>
        <w:t xml:space="preserve">, modraszek telejus </w:t>
      </w:r>
      <w:r w:rsidRPr="000408AA">
        <w:rPr>
          <w:rFonts w:asciiTheme="minorHAnsi" w:hAnsiTheme="minorHAnsi" w:cstheme="minorHAnsi"/>
          <w:i/>
          <w:szCs w:val="20"/>
        </w:rPr>
        <w:t>Maculinea (Phengaris) teleius</w:t>
      </w:r>
      <w:r w:rsidRPr="000408AA">
        <w:rPr>
          <w:rFonts w:asciiTheme="minorHAnsi" w:hAnsiTheme="minorHAnsi" w:cstheme="minorHAnsi"/>
          <w:szCs w:val="20"/>
        </w:rPr>
        <w:t xml:space="preserve">, mopek </w:t>
      </w:r>
      <w:r w:rsidRPr="000408AA">
        <w:rPr>
          <w:rFonts w:asciiTheme="minorHAnsi" w:hAnsiTheme="minorHAnsi" w:cstheme="minorHAnsi"/>
          <w:i/>
          <w:szCs w:val="20"/>
        </w:rPr>
        <w:t>Barbastella barbastellus</w:t>
      </w:r>
      <w:r w:rsidRPr="000408AA">
        <w:rPr>
          <w:rFonts w:asciiTheme="minorHAnsi" w:hAnsiTheme="minorHAnsi" w:cstheme="minorHAnsi"/>
          <w:szCs w:val="20"/>
        </w:rPr>
        <w:t xml:space="preserve">, nocek Bechsteina </w:t>
      </w:r>
      <w:r w:rsidRPr="000408AA">
        <w:rPr>
          <w:rFonts w:asciiTheme="minorHAnsi" w:hAnsiTheme="minorHAnsi" w:cstheme="minorHAnsi"/>
          <w:i/>
          <w:szCs w:val="20"/>
        </w:rPr>
        <w:t>Myotis bechsteinii</w:t>
      </w:r>
      <w:r w:rsidRPr="000408AA">
        <w:rPr>
          <w:rFonts w:asciiTheme="minorHAnsi" w:hAnsiTheme="minorHAnsi" w:cstheme="minorHAnsi"/>
          <w:szCs w:val="20"/>
        </w:rPr>
        <w:t xml:space="preserve">, nocek duży </w:t>
      </w:r>
      <w:r w:rsidRPr="000408AA">
        <w:rPr>
          <w:rFonts w:asciiTheme="minorHAnsi" w:hAnsiTheme="minorHAnsi" w:cstheme="minorHAnsi"/>
          <w:i/>
          <w:szCs w:val="20"/>
        </w:rPr>
        <w:t>Myotis myotis</w:t>
      </w:r>
      <w:r w:rsidRPr="000408AA">
        <w:rPr>
          <w:rFonts w:asciiTheme="minorHAnsi" w:hAnsiTheme="minorHAnsi" w:cstheme="minorHAnsi"/>
          <w:szCs w:val="20"/>
        </w:rPr>
        <w:t xml:space="preserve">, piskorz </w:t>
      </w:r>
      <w:r w:rsidRPr="000408AA">
        <w:rPr>
          <w:rFonts w:asciiTheme="minorHAnsi" w:hAnsiTheme="minorHAnsi" w:cstheme="minorHAnsi"/>
          <w:i/>
          <w:szCs w:val="20"/>
        </w:rPr>
        <w:t>Misgurnus fossilis</w:t>
      </w:r>
      <w:r w:rsidRPr="000408AA">
        <w:rPr>
          <w:rFonts w:asciiTheme="minorHAnsi" w:hAnsiTheme="minorHAnsi" w:cstheme="minorHAnsi"/>
          <w:szCs w:val="20"/>
        </w:rPr>
        <w:t xml:space="preserve"> , różanka </w:t>
      </w:r>
      <w:r w:rsidRPr="000408AA">
        <w:rPr>
          <w:rFonts w:asciiTheme="minorHAnsi" w:hAnsiTheme="minorHAnsi" w:cstheme="minorHAnsi"/>
          <w:i/>
          <w:szCs w:val="20"/>
        </w:rPr>
        <w:t>Rhodeus sericeus amarus</w:t>
      </w:r>
      <w:r w:rsidRPr="000408AA">
        <w:rPr>
          <w:rFonts w:asciiTheme="minorHAnsi" w:hAnsiTheme="minorHAnsi" w:cstheme="minorHAnsi"/>
          <w:szCs w:val="20"/>
        </w:rPr>
        <w:t xml:space="preserve">, szlaczkoń szafraniec </w:t>
      </w:r>
      <w:r w:rsidRPr="000408AA">
        <w:rPr>
          <w:rFonts w:asciiTheme="minorHAnsi" w:hAnsiTheme="minorHAnsi" w:cstheme="minorHAnsi"/>
          <w:i/>
          <w:szCs w:val="20"/>
        </w:rPr>
        <w:t>Colias myrmidone</w:t>
      </w:r>
      <w:r w:rsidRPr="000408AA">
        <w:rPr>
          <w:rFonts w:asciiTheme="minorHAnsi" w:hAnsiTheme="minorHAnsi" w:cstheme="minorHAnsi"/>
          <w:szCs w:val="20"/>
        </w:rPr>
        <w:t xml:space="preserve">, traszka grzebieniasta </w:t>
      </w:r>
      <w:r w:rsidRPr="000408AA">
        <w:rPr>
          <w:rFonts w:asciiTheme="minorHAnsi" w:hAnsiTheme="minorHAnsi" w:cstheme="minorHAnsi"/>
          <w:i/>
          <w:szCs w:val="20"/>
        </w:rPr>
        <w:t>Triturus cristatus</w:t>
      </w:r>
      <w:r w:rsidRPr="000408AA">
        <w:rPr>
          <w:rFonts w:asciiTheme="minorHAnsi" w:hAnsiTheme="minorHAnsi" w:cstheme="minorHAnsi"/>
          <w:szCs w:val="20"/>
        </w:rPr>
        <w:t xml:space="preserve">, trzepla zielona </w:t>
      </w:r>
      <w:r w:rsidRPr="000408AA">
        <w:rPr>
          <w:rFonts w:asciiTheme="minorHAnsi" w:hAnsiTheme="minorHAnsi" w:cstheme="minorHAnsi"/>
          <w:i/>
          <w:szCs w:val="20"/>
        </w:rPr>
        <w:t>Ophiogomphus cecilia</w:t>
      </w:r>
      <w:r w:rsidRPr="000408AA">
        <w:rPr>
          <w:rFonts w:asciiTheme="minorHAnsi" w:hAnsiTheme="minorHAnsi" w:cstheme="minorHAnsi"/>
          <w:szCs w:val="20"/>
        </w:rPr>
        <w:t xml:space="preserve">, wilk </w:t>
      </w:r>
      <w:r w:rsidRPr="000408AA">
        <w:rPr>
          <w:rFonts w:asciiTheme="minorHAnsi" w:hAnsiTheme="minorHAnsi" w:cstheme="minorHAnsi"/>
          <w:i/>
          <w:szCs w:val="20"/>
        </w:rPr>
        <w:t>Canis lupus</w:t>
      </w:r>
      <w:r w:rsidRPr="000408AA">
        <w:rPr>
          <w:rFonts w:asciiTheme="minorHAnsi" w:hAnsiTheme="minorHAnsi" w:cstheme="minorHAnsi"/>
          <w:szCs w:val="20"/>
        </w:rPr>
        <w:t xml:space="preserve">, wydra </w:t>
      </w:r>
      <w:r w:rsidRPr="000408AA">
        <w:rPr>
          <w:rFonts w:asciiTheme="minorHAnsi" w:hAnsiTheme="minorHAnsi" w:cstheme="minorHAnsi"/>
          <w:i/>
          <w:szCs w:val="20"/>
        </w:rPr>
        <w:t>Lutra lutra</w:t>
      </w:r>
      <w:r w:rsidRPr="000408AA">
        <w:rPr>
          <w:rFonts w:asciiTheme="minorHAnsi" w:hAnsiTheme="minorHAnsi" w:cstheme="minorHAnsi"/>
          <w:szCs w:val="20"/>
        </w:rPr>
        <w:t xml:space="preserve">, zalotka większa </w:t>
      </w:r>
      <w:r w:rsidRPr="000408AA">
        <w:rPr>
          <w:rFonts w:asciiTheme="minorHAnsi" w:hAnsiTheme="minorHAnsi" w:cstheme="minorHAnsi"/>
          <w:i/>
          <w:szCs w:val="20"/>
        </w:rPr>
        <w:t>Leucorrhinia pectoralis</w:t>
      </w:r>
      <w:r w:rsidRPr="000408AA">
        <w:rPr>
          <w:rFonts w:asciiTheme="minorHAnsi" w:hAnsiTheme="minorHAnsi" w:cstheme="minorHAnsi"/>
          <w:szCs w:val="20"/>
        </w:rPr>
        <w:t xml:space="preserve">]. </w:t>
      </w:r>
    </w:p>
    <w:p w:rsidR="000408AA" w:rsidRPr="000408AA" w:rsidRDefault="000408AA" w:rsidP="000408AA">
      <w:pPr>
        <w:spacing w:before="24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 xml:space="preserve">Działania zaplanowane w ramach GPR skupiają się na terenach przekształconych antropogenicznie, dotyczą głównie obiektów infrastruktury społecznej ( budynki remiz strażackich, boisko sportowe, place i tereny zlokalizowane w centrum miejscowości), a więc są zlokalizowane poza obszarami Natura 2000. Nie przewiduje się więc możliwości wystąpienia negatywnego oddziaływania na przedmioty i cele ochrony określone dla tych obszarów, w związku z założeniami GPR. </w:t>
      </w:r>
    </w:p>
    <w:p w:rsidR="000408AA" w:rsidRPr="000408AA" w:rsidRDefault="000408AA" w:rsidP="000408AA">
      <w:pPr>
        <w:spacing w:after="20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0408AA">
        <w:rPr>
          <w:rFonts w:asciiTheme="minorHAnsi" w:hAnsiTheme="minorHAnsi" w:cstheme="minorHAnsi"/>
          <w:b/>
          <w:szCs w:val="20"/>
        </w:rPr>
        <w:t xml:space="preserve">Mając powyższe na uwadze analizowany projekt Gminnego Programu Rewitalizacji gminy Chrzanów, spełnia warunekwymieniony w </w:t>
      </w:r>
      <w:r w:rsidRPr="000408AA">
        <w:rPr>
          <w:rFonts w:asciiTheme="minorHAnsi" w:eastAsia="Times New Roman" w:hAnsiTheme="minorHAnsi" w:cstheme="minorHAnsi"/>
          <w:b/>
          <w:szCs w:val="20"/>
          <w:lang w:eastAsia="pl-PL"/>
        </w:rPr>
        <w:t>art. 48 pkt 2 Ustawy OOŚ.</w:t>
      </w:r>
    </w:p>
    <w:p w:rsidR="000408AA" w:rsidRPr="000408AA" w:rsidRDefault="000408AA" w:rsidP="000408AA">
      <w:pPr>
        <w:rPr>
          <w:rFonts w:asciiTheme="minorHAnsi" w:hAnsiTheme="minorHAnsi" w:cstheme="minorHAnsi"/>
          <w:b/>
          <w:szCs w:val="20"/>
        </w:rPr>
      </w:pPr>
      <w:r w:rsidRPr="000408AA">
        <w:rPr>
          <w:rFonts w:asciiTheme="minorHAnsi" w:hAnsiTheme="minorHAnsi" w:cstheme="minorHAnsi"/>
          <w:szCs w:val="20"/>
        </w:rPr>
        <w:t>Zgodnie z art.48 ust.3 ustawy OOŚ , odstąpienie od przeprowadzenia SOOŚ może nastąpić jedynie w przypadku, gdy opracowywany plan dotyczy obszaru w granicach jednej gminy. Obszar, którego dotyczy projekt znajduje się na obszarze obrębów 0009 Kocudza Druga; 0014 Krzemień Drugi oraz 0012 Konstantów na terenie Gminy Dzwola.</w:t>
      </w:r>
    </w:p>
    <w:p w:rsidR="000408AA" w:rsidRPr="000408AA" w:rsidRDefault="000408AA" w:rsidP="000408AA">
      <w:pPr>
        <w:rPr>
          <w:rFonts w:asciiTheme="minorHAnsi" w:hAnsiTheme="minorHAnsi" w:cstheme="minorHAnsi"/>
          <w:b/>
          <w:szCs w:val="20"/>
        </w:rPr>
      </w:pPr>
      <w:r w:rsidRPr="000408AA">
        <w:rPr>
          <w:rFonts w:asciiTheme="minorHAnsi" w:hAnsiTheme="minorHAnsi" w:cstheme="minorHAnsi"/>
          <w:b/>
          <w:szCs w:val="20"/>
        </w:rPr>
        <w:t xml:space="preserve">Mając powyższe na uwadze analizowany projekt Gminnego Programu Rewitalizacji gminy Dzwola, spełnia warunek dotyczący położenia na terenie jednej gminy. </w:t>
      </w:r>
    </w:p>
    <w:p w:rsidR="000408AA" w:rsidRPr="000408AA" w:rsidRDefault="000408AA" w:rsidP="000408AA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color w:val="000000"/>
          <w:szCs w:val="20"/>
        </w:rPr>
      </w:pPr>
      <w:r w:rsidRPr="000408AA">
        <w:rPr>
          <w:rFonts w:asciiTheme="minorHAnsi" w:hAnsiTheme="minorHAnsi" w:cstheme="minorHAnsi"/>
          <w:color w:val="000000"/>
          <w:szCs w:val="20"/>
        </w:rPr>
        <w:t xml:space="preserve">W ramach GPR  dla każdego podobszaru rewitalizacji wyznaczono główny cel rewitalizacji oraz cele szczegółowe oraz kierunki działań. Głównym celem jest podniesienie jakości infrastruktury publicznej oraz zniwelowanie problemów społecznych na obszarze rewitalizacji w Gminie Dzwola. Wyznaczono następujące cele rewitalizacji: zapewnienie równego dostępu do wyższej jakości infrastruktury (A), podniesienie poziomu zaangażowania i zjednoczenia mieszkańców (B), poprawa dostępności przestrzeni i obiektów publicznych dla wszystkich (C). Celami szczegółowymi przyporządkowanymi do poszczególnych celów rewitalizacji są : I.A.1, II.A.1 Rozwój infrastruktury przyczyniającej się do aktywizacji mieszkańców; I.B.1, II.B.1 Aktywizacja wykluczonych poprzez stworzenie zróżnicowanej oferty spędzania wolnego czasu; I.C.1, II.C.1 Zapewnienie dostępu do niezbędnych usług, przestrzeni </w:t>
      </w:r>
      <w:r w:rsidRPr="000408AA">
        <w:rPr>
          <w:rFonts w:asciiTheme="minorHAnsi" w:hAnsiTheme="minorHAnsi" w:cstheme="minorHAnsi"/>
          <w:color w:val="000000"/>
          <w:szCs w:val="20"/>
        </w:rPr>
        <w:lastRenderedPageBreak/>
        <w:t xml:space="preserve">i obiektów publicznych osobom wykluczonym społecznie; II.A.2 Poprawa bezpieczeństwa i atrakcyjności infrastruktury sportowo-rekreacyjnej. </w:t>
      </w:r>
    </w:p>
    <w:p w:rsidR="000408AA" w:rsidRPr="000408AA" w:rsidRDefault="000408AA" w:rsidP="000408AA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color w:val="000000"/>
          <w:szCs w:val="20"/>
        </w:rPr>
      </w:pPr>
      <w:r w:rsidRPr="000408AA">
        <w:rPr>
          <w:rFonts w:asciiTheme="minorHAnsi" w:hAnsiTheme="minorHAnsi" w:cstheme="minorHAnsi"/>
          <w:color w:val="000000"/>
          <w:szCs w:val="20"/>
        </w:rPr>
        <w:t>W ramach GPR przewiduje się następujące działania będące podstawowymi projektami rewitalizacyjnymi: modernizacja budynku w Krzemieniu Drugim na centrum spotkań organizacji pozarządowych; modernizacja zdegradowanego boiska sportowego z przeznaczeniem na stadion sportowy; fizyczna odnowa przestrzeni sołectwa Konstantów; kompleks integracji społeczno-gospodarczej w Kocudzy Drugiej; nowoczesny Senior (aktywizacja społeczna); Klub Kreatywnych i Aktywnych Młodych; Polityka Senioralna EFS+.</w:t>
      </w:r>
    </w:p>
    <w:p w:rsidR="000408AA" w:rsidRPr="000408AA" w:rsidRDefault="000408AA" w:rsidP="000408AA">
      <w:pPr>
        <w:spacing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>W zależności od specyfiki, zakresu i lokalizacji realizacja założeń strategii może skutkować zaliczeniem do przedsięwzięć mogących oddziaływać na środowisko. Autorzy GPR podkreślają że, w ramach zaplanowanych celi operacyjnych planuje się głównie działania proekologiczne, mające pozytywny wpływ  na środowisko.</w:t>
      </w:r>
    </w:p>
    <w:p w:rsidR="000408AA" w:rsidRPr="000408AA" w:rsidRDefault="000408AA" w:rsidP="000408AA">
      <w:pPr>
        <w:spacing w:before="24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 xml:space="preserve">Realizacja celów strategicznych, szczególnie w ramach  przebudowy i modernizacji obiektów użyteczności publicznej może skutkować nieznacznym wzrostem emisji spalin i zapyleniem oraz oddziaływaniem akustycznym. Oddziaływanie będzie typowe dla tego typu inwestycji i ustąpi wraz z zakończeniem prac budowlanych. Działania zaplanowane w GPR są ukierunkowane głównie na poprawę rozwoju społecznego, ściśle powiązane z procesem modernizacji obiektów użyteczności publicznej. Ich realizacja będzie polegała na działaniu tzw. czynnika ludzkiego tzn. edukacji, socjalizacji, samorozwoju, wspieraniu kultury oraz integracji społecznej.  W związku z zaplanowanymi działaniami mającymi na celu zmniejszenie ilości obiektów zawierających azbest, powstaną odpady niebezpieczne, obowiązkiem wytwórcy odpadów jest ich odpowiednie zabezpieczenie przed dostępem osób trzecich a następnie przekazanie uprawnionym podmiotom w celu utylizacji.  </w:t>
      </w:r>
    </w:p>
    <w:p w:rsidR="000408AA" w:rsidRPr="000408AA" w:rsidRDefault="000408AA" w:rsidP="000408AA">
      <w:pPr>
        <w:spacing w:before="24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eastAsia="Times New Roman" w:hAnsiTheme="minorHAnsi" w:cstheme="minorHAnsi"/>
          <w:szCs w:val="20"/>
          <w:lang w:eastAsia="pl-PL"/>
        </w:rPr>
        <w:t xml:space="preserve">Obszar Gminy Dzwola znajduje się na terenie Parku Krajobrazowego Lasy Janowskie, którego funkcjonowanie reguluje </w:t>
      </w:r>
      <w:r w:rsidRPr="000408AA">
        <w:rPr>
          <w:rFonts w:asciiTheme="minorHAnsi" w:eastAsia="Times New Roman" w:hAnsiTheme="minorHAnsi" w:cstheme="minorHAnsi"/>
          <w:i/>
          <w:szCs w:val="20"/>
          <w:lang w:eastAsia="pl-PL"/>
        </w:rPr>
        <w:t xml:space="preserve">Rozporządzenie nr 12 Wojewody Lubelskiego z dnia 5 maja 2005 r. w sprawie Parku Krajobrazowego Lasy Janowskie </w:t>
      </w:r>
      <w:r w:rsidRPr="000408AA">
        <w:rPr>
          <w:rFonts w:asciiTheme="minorHAnsi" w:eastAsia="Times New Roman" w:hAnsiTheme="minorHAnsi" w:cstheme="minorHAnsi"/>
          <w:szCs w:val="20"/>
          <w:lang w:eastAsia="pl-PL"/>
        </w:rPr>
        <w:t xml:space="preserve">[Lubel.2005.108.2057]. Szczególnym celem ochrony na tym obszarze jest zachowanie walorów przyrodniczych, krajobrazowych, kulturowych, historycznych i turystycznych środowiska. </w:t>
      </w:r>
      <w:r w:rsidRPr="000408AA">
        <w:rPr>
          <w:rFonts w:asciiTheme="minorHAnsi" w:hAnsiTheme="minorHAnsi" w:cstheme="minorHAnsi"/>
          <w:szCs w:val="20"/>
        </w:rPr>
        <w:t xml:space="preserve">Działania zaplanowane w ramach GPR skupiają się głównie na terenach zabudowanych znajdujących się poza obszarem Parku Krajobrazowego. W ramach realizacji przedsięwzięć nie zostaną złamane zakazy obowiązujące na terenie Parku Krajobrazowego. </w:t>
      </w:r>
    </w:p>
    <w:p w:rsidR="000408AA" w:rsidRPr="000408AA" w:rsidRDefault="000408AA" w:rsidP="000408AA">
      <w:pPr>
        <w:spacing w:before="24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>Teren sołectw Krzemień Drugi oraz Konstantów objętych głównymi celami rewitalizacji w związku z GPR, znajdują się na obszarze JCWP Branew oznaczonej symbolem RW200010229449, dla której określono następujące parametry: umiarkowany stan ekologiczny, stan chemiczny poniżej dobrego, stan ogólny wód-zły, celem środowiskowym jest uzyskanie umiarkowanego stanu ekologicznego oraz dobrego stanu chemicznego. Teren sołectwa Kocudza Druga oraz Konstantów objętych głównymi celami rewitalizacji w związku z GPR, znajdują się na obszarze JCWP Bukowa do Rakowej oznaczonej symbolem RW200010229419, dla której określono następujące parametry: umiarkowany stan ekologiczny, stan chemiczny- brak danych, stan ogólny wód -zły. Celem środowiskowym dla tej JCWP jest uzyskanie dobrego stanu ekologicznego oraz dobrego stanu chemicznego.</w:t>
      </w:r>
    </w:p>
    <w:p w:rsidR="000408AA" w:rsidRPr="000408AA" w:rsidRDefault="000408AA" w:rsidP="000408AA">
      <w:pPr>
        <w:spacing w:before="24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 xml:space="preserve">Cały obszar objęty GPR znajduje się na obszarze Jednolitych Części Wód Podziemnych oznaczonych numerem GW2000119, dla której określono następujące parametry: stan chemiczny- dobry, stan ilościowy- dobry, stan ogólny – dobry, celem dla analizowanej JCWPd jest utrzymanie dobrego stanu chemicznego i dobrego stanu ilościowego. </w:t>
      </w:r>
    </w:p>
    <w:p w:rsidR="000408AA" w:rsidRPr="000408AA" w:rsidRDefault="000408AA" w:rsidP="000408AA">
      <w:pPr>
        <w:spacing w:before="24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 xml:space="preserve">Realizacja celów rewitalizacyjnych zaplanowanych w ramach GPR nie wpłynie negatywnie na stan JCWP oraz JCWPd oraz na spełnienie celów środowiskowych wyznaczonych dla tych części wód. Zwiększenie świadomości ekologicznej, edukacja w zakresie szkodliwości materiałów użytkowanych w </w:t>
      </w:r>
      <w:r w:rsidRPr="000408AA">
        <w:rPr>
          <w:rFonts w:asciiTheme="minorHAnsi" w:hAnsiTheme="minorHAnsi" w:cstheme="minorHAnsi"/>
          <w:szCs w:val="20"/>
        </w:rPr>
        <w:lastRenderedPageBreak/>
        <w:t>gospodarstwach jest szansą na poprawę obecnego stanu wód podziemnych i powierzchniowych na terenie objętym GPR.</w:t>
      </w:r>
    </w:p>
    <w:p w:rsidR="000408AA" w:rsidRPr="000408AA" w:rsidRDefault="000408AA" w:rsidP="000408A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 xml:space="preserve">W ramach realizacji zadań nie przewiduje się oddziaływania transgranicznego. Najbliższa granica państwa przebiega w odległości ok 87 km w kierunku południowo-wschodnim. </w:t>
      </w:r>
    </w:p>
    <w:p w:rsidR="000408AA" w:rsidRPr="000408AA" w:rsidRDefault="000408AA" w:rsidP="000408A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>Realizacja zadań zaplanowanych w ramach wdrażania GPR nie przewiduje powstawania oddziaływań skumulowanych mogących wywoływać negatywne oddziaływanie na środowisko.</w:t>
      </w:r>
    </w:p>
    <w:p w:rsidR="000408AA" w:rsidRPr="000408AA" w:rsidRDefault="000408AA" w:rsidP="000408AA">
      <w:pPr>
        <w:spacing w:before="24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 xml:space="preserve">Działania zaplanowane w ramach Gminnego Programu Rewitalizacji nie naruszą przepisów dotyczących form ochrony przyrody, o których mowa w ustawie </w:t>
      </w:r>
      <w:r w:rsidRPr="000408AA">
        <w:rPr>
          <w:rFonts w:asciiTheme="minorHAnsi" w:eastAsia="Times New Roman" w:hAnsiTheme="minorHAnsi" w:cstheme="minorHAnsi"/>
          <w:szCs w:val="20"/>
          <w:lang w:eastAsia="pl-PL"/>
        </w:rPr>
        <w:t xml:space="preserve">z dnia 16 kwietnia 2004 r. </w:t>
      </w:r>
      <w:r w:rsidRPr="000408AA">
        <w:rPr>
          <w:rFonts w:asciiTheme="minorHAnsi" w:hAnsiTheme="minorHAnsi" w:cstheme="minorHAnsi"/>
          <w:szCs w:val="20"/>
        </w:rPr>
        <w:t>o ochronie przyrody, nie spowodowuje pogorszenia stanu środowiska, zasobów przyrody  i ich funkcji ekologicznych, w szczególności nie będzie generować znaczącego negatywnego oddziaływania na cele ochrony obszarów chronionych, siedliska przyrodnicze, chronione gatunki roślin, zwierząt lub grzybów, lub ich siedliska.</w:t>
      </w:r>
    </w:p>
    <w:p w:rsidR="000408AA" w:rsidRPr="000408AA" w:rsidRDefault="000408AA" w:rsidP="000408AA">
      <w:pPr>
        <w:spacing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 xml:space="preserve">Regionalny Dyrektor Ochrony Środowiska w Lublinie, po uwzględnieniu uwarunkowań określonych w art. 49 ustawy z dnia 3 października 2008 r. o udostępnianiu informacji o środowisku i jego ochronie, udziale społeczeństwa w ochronie środowiska oraz o ocenach oddziaływania na środowisko, </w:t>
      </w:r>
      <w:r w:rsidRPr="000408AA">
        <w:rPr>
          <w:rFonts w:asciiTheme="minorHAnsi" w:eastAsia="Times New Roman" w:hAnsiTheme="minorHAnsi" w:cstheme="minorHAnsi"/>
          <w:szCs w:val="20"/>
          <w:lang w:eastAsia="pl-PL"/>
        </w:rPr>
        <w:t xml:space="preserve">stwierdza, że realizacja zadań zaplanowanych w projekcie Gminnego Programu Rewitalizacji Gminy Dzwola na lata 2022-2030 nie </w:t>
      </w:r>
      <w:r w:rsidRPr="000408AA">
        <w:rPr>
          <w:rFonts w:asciiTheme="minorHAnsi" w:hAnsiTheme="minorHAnsi" w:cstheme="minorHAnsi"/>
          <w:szCs w:val="20"/>
        </w:rPr>
        <w:t xml:space="preserve">spowoduje znaczącego oddziaływania na środowisko, w tym obszary Natura 2000. </w:t>
      </w:r>
    </w:p>
    <w:p w:rsidR="000408AA" w:rsidRPr="000408AA" w:rsidRDefault="000408AA" w:rsidP="000408AA">
      <w:pPr>
        <w:spacing w:after="0" w:line="276" w:lineRule="auto"/>
        <w:rPr>
          <w:rFonts w:asciiTheme="minorHAnsi" w:hAnsiTheme="minorHAnsi" w:cstheme="minorHAnsi"/>
          <w:szCs w:val="20"/>
        </w:rPr>
      </w:pPr>
    </w:p>
    <w:p w:rsidR="000408AA" w:rsidRPr="000408AA" w:rsidRDefault="000408AA" w:rsidP="000408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>Wobec powyższego, postanowiono jak w sentencji.</w:t>
      </w:r>
    </w:p>
    <w:p w:rsidR="000408AA" w:rsidRPr="000408AA" w:rsidRDefault="000408AA" w:rsidP="000408AA">
      <w:pPr>
        <w:spacing w:after="0" w:line="276" w:lineRule="auto"/>
        <w:rPr>
          <w:rFonts w:asciiTheme="minorHAnsi" w:hAnsiTheme="minorHAnsi" w:cstheme="minorHAnsi"/>
          <w:szCs w:val="20"/>
        </w:rPr>
      </w:pPr>
    </w:p>
    <w:p w:rsidR="000408AA" w:rsidRPr="000408AA" w:rsidRDefault="008B672B" w:rsidP="000408AA">
      <w:pPr>
        <w:spacing w:after="0" w:line="276" w:lineRule="auto"/>
        <w:ind w:left="4248"/>
        <w:jc w:val="left"/>
        <w:rPr>
          <w:rFonts w:asciiTheme="minorHAnsi" w:hAnsiTheme="minorHAnsi" w:cstheme="minorHAnsi"/>
          <w:szCs w:val="20"/>
        </w:rPr>
      </w:pPr>
      <w:r w:rsidRPr="008B672B">
        <w:rPr>
          <w:rFonts w:ascii="Calibri" w:hAnsi="Calibri" w:cs="Times New Roman"/>
          <w:noProof/>
          <w:sz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250.5pt;margin-top:3.55pt;width:189pt;height:9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" stroked="f">
            <v:textbox>
              <w:txbxContent>
                <w:p w:rsidR="000408AA" w:rsidRDefault="000408AA" w:rsidP="000408A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  <w:t>Z up. Regionalnego Dyrektora</w:t>
                  </w:r>
                </w:p>
                <w:p w:rsidR="000408AA" w:rsidRDefault="000408AA" w:rsidP="000408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  <w:t>Ochrony  Środowiska w Lublinie</w:t>
                  </w:r>
                </w:p>
                <w:p w:rsidR="000408AA" w:rsidRDefault="000408AA" w:rsidP="000408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  <w:t>Tomasz Wąsik</w:t>
                  </w:r>
                </w:p>
                <w:p w:rsidR="000408AA" w:rsidRDefault="000408AA" w:rsidP="000408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  <w:t>p.o. Zastępcy Regionalnego Dyrektora</w:t>
                  </w:r>
                </w:p>
                <w:p w:rsidR="000408AA" w:rsidRDefault="000408AA" w:rsidP="000408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  <w:t>Ochrony Środowiska w Lublinie</w:t>
                  </w:r>
                </w:p>
                <w:p w:rsidR="000408AA" w:rsidRDefault="000408AA" w:rsidP="000408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  <w:t>– Regionalnego Konserwatora Przyrody</w:t>
                  </w:r>
                </w:p>
                <w:p w:rsidR="000408AA" w:rsidRDefault="000408AA" w:rsidP="000408AA">
                  <w:pPr>
                    <w:pStyle w:val="Bezodstpw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pl-PL"/>
                    </w:rPr>
                    <w:t>/podpisano kwalifikowanym</w:t>
                  </w:r>
                </w:p>
                <w:p w:rsidR="000408AA" w:rsidRDefault="000408AA" w:rsidP="000408AA">
                  <w:pPr>
                    <w:pStyle w:val="Bezodstpw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pl-PL"/>
                    </w:rPr>
                    <w:t>podpisem elektronicznym/</w:t>
                  </w:r>
                </w:p>
                <w:p w:rsidR="000408AA" w:rsidRDefault="000408AA" w:rsidP="000408AA"/>
                <w:p w:rsidR="000408AA" w:rsidRDefault="000408AA" w:rsidP="000408AA"/>
              </w:txbxContent>
            </v:textbox>
            <w10:wrap type="square"/>
          </v:shape>
        </w:pict>
      </w:r>
    </w:p>
    <w:p w:rsidR="000408AA" w:rsidRPr="000408AA" w:rsidRDefault="000408AA" w:rsidP="000408AA">
      <w:pPr>
        <w:spacing w:after="0" w:line="276" w:lineRule="auto"/>
        <w:rPr>
          <w:rFonts w:asciiTheme="minorHAnsi" w:hAnsiTheme="minorHAnsi" w:cstheme="minorHAnsi"/>
          <w:szCs w:val="20"/>
        </w:rPr>
      </w:pPr>
    </w:p>
    <w:p w:rsidR="000408AA" w:rsidRPr="000408AA" w:rsidRDefault="000408AA" w:rsidP="000408AA">
      <w:pPr>
        <w:spacing w:after="0" w:line="276" w:lineRule="auto"/>
        <w:rPr>
          <w:rFonts w:asciiTheme="minorHAnsi" w:hAnsiTheme="minorHAnsi" w:cstheme="minorHAnsi"/>
          <w:szCs w:val="20"/>
        </w:rPr>
      </w:pPr>
    </w:p>
    <w:p w:rsidR="000408AA" w:rsidRPr="000408AA" w:rsidRDefault="000408AA" w:rsidP="000408AA">
      <w:pPr>
        <w:spacing w:after="0" w:line="276" w:lineRule="auto"/>
        <w:rPr>
          <w:rFonts w:asciiTheme="minorHAnsi" w:hAnsiTheme="minorHAnsi" w:cstheme="minorHAnsi"/>
          <w:szCs w:val="20"/>
        </w:rPr>
      </w:pPr>
    </w:p>
    <w:p w:rsidR="000408AA" w:rsidRPr="000408AA" w:rsidRDefault="000408AA" w:rsidP="000408AA">
      <w:pPr>
        <w:spacing w:after="200" w:line="276" w:lineRule="auto"/>
        <w:rPr>
          <w:rFonts w:asciiTheme="minorHAnsi" w:hAnsiTheme="minorHAnsi" w:cstheme="minorHAnsi"/>
          <w:szCs w:val="20"/>
        </w:rPr>
      </w:pPr>
    </w:p>
    <w:p w:rsidR="000408AA" w:rsidRPr="000408AA" w:rsidRDefault="000408AA" w:rsidP="000408AA">
      <w:pPr>
        <w:spacing w:after="200" w:line="276" w:lineRule="auto"/>
        <w:rPr>
          <w:rFonts w:asciiTheme="minorHAnsi" w:hAnsiTheme="minorHAnsi" w:cstheme="minorHAnsi"/>
          <w:szCs w:val="20"/>
        </w:rPr>
      </w:pPr>
    </w:p>
    <w:p w:rsidR="000408AA" w:rsidRPr="000408AA" w:rsidRDefault="000408AA" w:rsidP="000408AA">
      <w:pPr>
        <w:spacing w:after="200" w:line="276" w:lineRule="auto"/>
        <w:rPr>
          <w:rFonts w:asciiTheme="minorHAnsi" w:hAnsiTheme="minorHAnsi" w:cstheme="minorHAnsi"/>
          <w:szCs w:val="20"/>
        </w:rPr>
      </w:pPr>
    </w:p>
    <w:p w:rsidR="000408AA" w:rsidRPr="000408AA" w:rsidRDefault="000408AA" w:rsidP="000408AA">
      <w:pPr>
        <w:spacing w:after="200" w:line="276" w:lineRule="auto"/>
        <w:rPr>
          <w:rFonts w:asciiTheme="minorHAnsi" w:hAnsiTheme="minorHAnsi" w:cstheme="minorHAnsi"/>
          <w:szCs w:val="20"/>
        </w:rPr>
      </w:pPr>
    </w:p>
    <w:p w:rsidR="000408AA" w:rsidRPr="000408AA" w:rsidRDefault="000408AA" w:rsidP="000408AA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0408AA">
        <w:rPr>
          <w:rFonts w:asciiTheme="minorHAnsi" w:hAnsiTheme="minorHAnsi" w:cstheme="minorHAnsi"/>
          <w:szCs w:val="20"/>
        </w:rPr>
        <w:t>Otrzymują:</w:t>
      </w:r>
    </w:p>
    <w:p w:rsidR="000408AA" w:rsidRPr="000408AA" w:rsidRDefault="000408AA" w:rsidP="000408AA">
      <w:pPr>
        <w:numPr>
          <w:ilvl w:val="0"/>
          <w:numId w:val="1"/>
        </w:numPr>
        <w:tabs>
          <w:tab w:val="left" w:pos="6244"/>
        </w:tabs>
        <w:spacing w:after="0" w:line="276" w:lineRule="auto"/>
        <w:contextualSpacing/>
        <w:jc w:val="left"/>
        <w:rPr>
          <w:rFonts w:asciiTheme="minorHAnsi" w:hAnsiTheme="minorHAnsi" w:cstheme="minorHAnsi"/>
          <w:sz w:val="16"/>
          <w:szCs w:val="20"/>
        </w:rPr>
      </w:pPr>
      <w:r w:rsidRPr="000408AA">
        <w:rPr>
          <w:rFonts w:asciiTheme="minorHAnsi" w:hAnsiTheme="minorHAnsi" w:cstheme="minorHAnsi"/>
          <w:sz w:val="18"/>
          <w:szCs w:val="20"/>
        </w:rPr>
        <w:t>Wójt Gminy Dzwola</w:t>
      </w:r>
    </w:p>
    <w:p w:rsidR="000408AA" w:rsidRPr="000408AA" w:rsidRDefault="000408AA" w:rsidP="000408AA">
      <w:pPr>
        <w:numPr>
          <w:ilvl w:val="0"/>
          <w:numId w:val="1"/>
        </w:numPr>
        <w:tabs>
          <w:tab w:val="left" w:pos="6244"/>
        </w:tabs>
        <w:spacing w:after="0" w:line="276" w:lineRule="auto"/>
        <w:contextualSpacing/>
        <w:jc w:val="left"/>
        <w:rPr>
          <w:rFonts w:asciiTheme="minorHAnsi" w:hAnsiTheme="minorHAnsi" w:cstheme="minorHAnsi"/>
          <w:sz w:val="18"/>
          <w:szCs w:val="20"/>
        </w:rPr>
      </w:pPr>
      <w:r w:rsidRPr="000408AA">
        <w:rPr>
          <w:rFonts w:asciiTheme="minorHAnsi" w:hAnsiTheme="minorHAnsi" w:cstheme="minorHAnsi"/>
          <w:sz w:val="18"/>
          <w:szCs w:val="20"/>
        </w:rPr>
        <w:t>Ad acta</w:t>
      </w:r>
    </w:p>
    <w:p w:rsidR="000408AA" w:rsidRPr="000408AA" w:rsidRDefault="000408AA" w:rsidP="000408AA">
      <w:pPr>
        <w:jc w:val="left"/>
        <w:rPr>
          <w:rFonts w:ascii="Times New Roman" w:hAnsi="Times New Roman"/>
          <w:sz w:val="22"/>
        </w:rPr>
      </w:pPr>
    </w:p>
    <w:p w:rsidR="009A57A9" w:rsidRDefault="009A57A9"/>
    <w:sectPr w:rsidR="009A57A9" w:rsidSect="008B67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A9" w:rsidRDefault="00FB76A9" w:rsidP="008B672B">
      <w:pPr>
        <w:spacing w:after="0" w:line="240" w:lineRule="auto"/>
      </w:pPr>
      <w:r>
        <w:separator/>
      </w:r>
    </w:p>
  </w:endnote>
  <w:endnote w:type="continuationSeparator" w:id="1">
    <w:p w:rsidR="00FB76A9" w:rsidRDefault="00FB76A9" w:rsidP="008B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4861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84DD0" w:rsidRDefault="000408AA">
            <w:pPr>
              <w:pStyle w:val="Stopka"/>
              <w:jc w:val="right"/>
            </w:pPr>
            <w:r>
              <w:t xml:space="preserve">Strona </w:t>
            </w:r>
            <w:r w:rsidR="008B67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B672B">
              <w:rPr>
                <w:b/>
                <w:bCs/>
                <w:sz w:val="24"/>
                <w:szCs w:val="24"/>
              </w:rPr>
              <w:fldChar w:fldCharType="separate"/>
            </w:r>
            <w:r w:rsidR="000246D5">
              <w:rPr>
                <w:b/>
                <w:bCs/>
                <w:noProof/>
              </w:rPr>
              <w:t>4</w:t>
            </w:r>
            <w:r w:rsidR="008B67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B67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B672B">
              <w:rPr>
                <w:b/>
                <w:bCs/>
                <w:sz w:val="24"/>
                <w:szCs w:val="24"/>
              </w:rPr>
              <w:fldChar w:fldCharType="separate"/>
            </w:r>
            <w:r w:rsidR="000246D5">
              <w:rPr>
                <w:b/>
                <w:bCs/>
                <w:noProof/>
              </w:rPr>
              <w:t>4</w:t>
            </w:r>
            <w:r w:rsidR="008B67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4DD0" w:rsidRDefault="00FB76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A9" w:rsidRDefault="00FB76A9" w:rsidP="008B672B">
      <w:pPr>
        <w:spacing w:after="0" w:line="240" w:lineRule="auto"/>
      </w:pPr>
      <w:r>
        <w:separator/>
      </w:r>
    </w:p>
  </w:footnote>
  <w:footnote w:type="continuationSeparator" w:id="1">
    <w:p w:rsidR="00FB76A9" w:rsidRDefault="00FB76A9" w:rsidP="008B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298"/>
    <w:multiLevelType w:val="hybridMultilevel"/>
    <w:tmpl w:val="C8CC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8AA"/>
    <w:rsid w:val="000246D5"/>
    <w:rsid w:val="000408AA"/>
    <w:rsid w:val="006D1588"/>
    <w:rsid w:val="0072402B"/>
    <w:rsid w:val="008B672B"/>
    <w:rsid w:val="009A57A9"/>
    <w:rsid w:val="00A63E0F"/>
    <w:rsid w:val="00F836A2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0F"/>
    <w:pPr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08AA"/>
    <w:pPr>
      <w:spacing w:after="0" w:line="240" w:lineRule="auto"/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408AA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408AA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1809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Skrzypek</dc:creator>
  <cp:lastModifiedBy>AndrzejB</cp:lastModifiedBy>
  <cp:revision>2</cp:revision>
  <dcterms:created xsi:type="dcterms:W3CDTF">2024-07-02T11:16:00Z</dcterms:created>
  <dcterms:modified xsi:type="dcterms:W3CDTF">2024-07-02T11:16:00Z</dcterms:modified>
</cp:coreProperties>
</file>